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835" w:type="dxa"/>
        <w:shd w:val="clear" w:color="auto" w:fill="FFFFFF"/>
        <w:tblCellMar>
          <w:left w:w="0" w:type="dxa"/>
          <w:right w:w="0" w:type="dxa"/>
        </w:tblCellMar>
        <w:tblLook w:val="04A0" w:firstRow="1" w:lastRow="0" w:firstColumn="1" w:lastColumn="0" w:noHBand="0" w:noVBand="1"/>
      </w:tblPr>
      <w:tblGrid>
        <w:gridCol w:w="3074"/>
        <w:gridCol w:w="8761"/>
      </w:tblGrid>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Cơ quan Công bố/Công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Bộ Y tế</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Mã thủ tục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B-BYT-265234-TT</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Cấp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Cấp Bộ, Cấp Tỉnh, Cấp Huyện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Loại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TTHC được luật giao quy định chi tiết</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Lĩnh vực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Khám bệnh, chữa bệnh</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Trình tự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2631"/>
              <w:gridCol w:w="3011"/>
              <w:gridCol w:w="2322"/>
            </w:tblGrid>
            <w:tr w:rsidR="00CE40D5" w:rsidRPr="00CE40D5" w:rsidTr="00CE40D5">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Tên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Mô tả bước</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 </w:t>
                  </w:r>
                </w:p>
              </w:tc>
            </w:tr>
            <w:tr w:rsidR="00CE40D5" w:rsidRPr="00CE40D5" w:rsidT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Bước 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Đối tượng khám sức khỏe đến cơ sở khám chữa bệnh đủ điều kiện khám sức khoẻ theo qui định, nộp Giấy KSK theo mẫu quy định tại Phụ lục 1 ban hành kèm theo Thông tư số 14/2013/TT-BYT ngày 06/5/2013 của Bộ Y tế; Cung cấp đầy đủ, chính xác, trung thực các thông tin cá nhân, tình trạng sức khỏe hiện tại, tiền sử bệnh tật của bản thân và gia đình trong phần tiền sử của đối tượng khám sức khỏe (theo mẫu giấy chứng nhận sức khỏe).</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w:t>
                  </w:r>
                </w:p>
              </w:tc>
            </w:tr>
            <w:tr w:rsidR="00CE40D5" w:rsidRPr="00CE40D5" w:rsidT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Bước 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Cơ sở KBCB đối chiếu ảnh trong giấy KSK với người đến KSK; Đóng dấu giáp lai vào ảnh sau khi đã thực hiện việc đối chiếu ảnh và hướng dẫn quy trình KSK cho đối tượng KSK theo các nội dung ghi trong Phụ lục 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w:t>
                  </w:r>
                </w:p>
              </w:tc>
            </w:tr>
            <w:tr w:rsidR="00CE40D5" w:rsidRPr="00CE40D5" w:rsidT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Bước 3</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xml:space="preserve">Kết luận và trả giấy khám sức </w:t>
                  </w:r>
                  <w:r w:rsidRPr="00CE40D5">
                    <w:rPr>
                      <w:rFonts w:ascii="Arial" w:eastAsia="Times New Roman" w:hAnsi="Arial" w:cs="Arial"/>
                      <w:sz w:val="18"/>
                      <w:szCs w:val="18"/>
                      <w:lang w:eastAsia="vi-VN"/>
                    </w:rPr>
                    <w:lastRenderedPageBreak/>
                    <w:t>khoẻ.</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lastRenderedPageBreak/>
                    <w:t> </w:t>
                  </w:r>
                </w:p>
              </w:tc>
            </w:tr>
          </w:tbl>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lastRenderedPageBreak/>
              <w:t> </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lastRenderedPageBreak/>
              <w:t>Cách thức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Đếnkhám  trực tiếp tại cơ sở khám bệnh, chữa bệnh.</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Thành phần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361"/>
              <w:gridCol w:w="4245"/>
              <w:gridCol w:w="3719"/>
            </w:tblGrid>
            <w:tr w:rsidR="00CE40D5" w:rsidRPr="00CE40D5" w:rsidTr="00CE40D5">
              <w:trPr>
                <w:tblHeader/>
              </w:trPr>
              <w:tc>
                <w:tcPr>
                  <w:tcW w:w="150" w:type="pct"/>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 </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Thành phần hồ sơ</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 </w:t>
                  </w:r>
                </w:p>
              </w:tc>
            </w:tr>
            <w:tr w:rsidR="00CE40D5" w:rsidRPr="00CE40D5" w:rsidT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1.</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Giấy KSK theo mẫu quy định tại Phụ lục 1 ban hành kèm theo Thông tư số 14/2013/TT-BYT ngày 06/5/2013 của Bộ Y tế, có dán ảnh chân dung cỡ 4 x 6cm, chụp trên nền trắng trong thời gian không quá 6 tháng</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w:t>
                  </w:r>
                </w:p>
              </w:tc>
            </w:tr>
            <w:tr w:rsidR="00CE40D5" w:rsidRPr="00CE40D5" w:rsidT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2.</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r w:rsidRPr="00CE40D5">
                    <w:rPr>
                      <w:rFonts w:ascii="Arial" w:eastAsia="Times New Roman" w:hAnsi="Arial" w:cs="Arial"/>
                      <w:sz w:val="18"/>
                      <w:szCs w:val="18"/>
                      <w:lang w:eastAsia="vi-VN"/>
                    </w:rPr>
                    <w:t> </w:t>
                  </w:r>
                </w:p>
              </w:tc>
            </w:tr>
          </w:tbl>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 </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Số bộ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01 bộ</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Mẫu đơn, mẫu tờ khai</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tbl>
            <w:tblPr>
              <w:tblW w:w="8325" w:type="dxa"/>
              <w:tblCellMar>
                <w:left w:w="0" w:type="dxa"/>
                <w:right w:w="0" w:type="dxa"/>
              </w:tblCellMar>
              <w:tblLook w:val="04A0" w:firstRow="1" w:lastRow="0" w:firstColumn="1" w:lastColumn="0" w:noHBand="0" w:noVBand="1"/>
            </w:tblPr>
            <w:tblGrid>
              <w:gridCol w:w="4203"/>
              <w:gridCol w:w="4122"/>
            </w:tblGrid>
            <w:tr w:rsidR="00CE40D5" w:rsidRP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Tên mẫu đơn, mẫu tờ khai</w:t>
                  </w:r>
                </w:p>
              </w:tc>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Văn bản quy định</w:t>
                  </w:r>
                </w:p>
              </w:tc>
            </w:tr>
            <w:tr w:rsidR="00CE40D5" w:rsidRPr="00CE40D5">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hyperlink r:id="rId6" w:history="1">
                    <w:r w:rsidRPr="00CE40D5">
                      <w:rPr>
                        <w:rFonts w:ascii="Arial" w:eastAsia="Times New Roman" w:hAnsi="Arial" w:cs="Arial"/>
                        <w:color w:val="19467F"/>
                        <w:sz w:val="18"/>
                        <w:szCs w:val="18"/>
                        <w:bdr w:val="none" w:sz="0" w:space="0" w:color="auto" w:frame="1"/>
                        <w:lang w:eastAsia="vi-VN"/>
                      </w:rPr>
                      <w:t>phụ lục 1.docx</w:t>
                    </w:r>
                  </w:hyperlink>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sz w:val="18"/>
                      <w:szCs w:val="18"/>
                      <w:lang w:eastAsia="vi-VN"/>
                    </w:rPr>
                  </w:pPr>
                </w:p>
              </w:tc>
            </w:tr>
          </w:tbl>
          <w:p w:rsidR="00CE40D5" w:rsidRPr="00CE40D5" w:rsidRDefault="00CE40D5" w:rsidP="00CE40D5">
            <w:pPr>
              <w:spacing w:after="0" w:line="240" w:lineRule="atLeast"/>
              <w:rPr>
                <w:rFonts w:ascii="Arial" w:eastAsia="Times New Roman" w:hAnsi="Arial" w:cs="Arial"/>
                <w:color w:val="333333"/>
                <w:sz w:val="18"/>
                <w:szCs w:val="18"/>
                <w:lang w:eastAsia="vi-VN"/>
              </w:rPr>
            </w:pP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Lệ phí</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Mức giá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Thời hạn giải quyết</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1. Đối với trường hợp KSK đơn lẻ: cơ sở KSK trả Giấy KSK, Sổ KSK định kỳ cho người được KSK trong vòng 24 (hai mươi tư) giờ kể từ khi kết thúc việc KSK, trừ những trường hợp phải khám hoặc xét nghiệm bổ sung theo yêu cầu của người thực hiện KSK;</w:t>
            </w:r>
          </w:p>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2. Đối với trường hợp KSK tập thể theo hợp đồng: cơ sở KSK trả Giấy KSK, Sổ KSK định kỳ cho người được KSK theo thỏa thuận đã ghi trong hợp đồng.</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lastRenderedPageBreak/>
              <w:t>Đối tượng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Cá nhân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Cơ quan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Cơ sở khám bệnh, chữa bệnh</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Cơ quan có thẩm quyền quyết định</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Các cơ sở khám chữa bệnh Trung ương và địa phương</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Địa chỉ tiếp nhận hồ sơ</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Cơ quan được ủy quyền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Cơ quan phối hợp</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Kết quả thực hiện</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Giấy khám sức khoẻ</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Căn cứ pháp lý của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7" w:tgtFrame="_blank" w:tooltip="Nghị định 06/CP" w:history="1">
              <w:r w:rsidRPr="00CE40D5">
                <w:rPr>
                  <w:rFonts w:ascii="Arial" w:eastAsia="Times New Roman" w:hAnsi="Arial" w:cs="Arial"/>
                  <w:color w:val="19467F"/>
                  <w:sz w:val="18"/>
                  <w:szCs w:val="18"/>
                  <w:u w:val="single"/>
                  <w:bdr w:val="none" w:sz="0" w:space="0" w:color="auto" w:frame="1"/>
                  <w:lang w:eastAsia="vi-VN"/>
                </w:rPr>
                <w:t>Nghị định 06/CP</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8" w:tgtFrame="_blank" w:tooltip="Thông tư 74/2002/TT-BTC" w:history="1">
              <w:r w:rsidRPr="00CE40D5">
                <w:rPr>
                  <w:rFonts w:ascii="Arial" w:eastAsia="Times New Roman" w:hAnsi="Arial" w:cs="Arial"/>
                  <w:color w:val="19467F"/>
                  <w:sz w:val="18"/>
                  <w:szCs w:val="18"/>
                  <w:u w:val="single"/>
                  <w:bdr w:val="none" w:sz="0" w:space="0" w:color="auto" w:frame="1"/>
                  <w:lang w:eastAsia="vi-VN"/>
                </w:rPr>
                <w:t>Thông tư 74/2002/TT-BTC</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9" w:tgtFrame="_blank" w:tooltip="Nghị định 110/2002/NĐ-CP" w:history="1">
              <w:r w:rsidRPr="00CE40D5">
                <w:rPr>
                  <w:rFonts w:ascii="Arial" w:eastAsia="Times New Roman" w:hAnsi="Arial" w:cs="Arial"/>
                  <w:color w:val="19467F"/>
                  <w:sz w:val="18"/>
                  <w:szCs w:val="18"/>
                  <w:u w:val="single"/>
                  <w:bdr w:val="none" w:sz="0" w:space="0" w:color="auto" w:frame="1"/>
                  <w:lang w:eastAsia="vi-VN"/>
                </w:rPr>
                <w:t>Nghị định 110/2002/NĐ-CP</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0" w:tgtFrame="_blank" w:tooltip="Luật 72/2006/QH11" w:history="1">
              <w:r w:rsidRPr="00CE40D5">
                <w:rPr>
                  <w:rFonts w:ascii="Arial" w:eastAsia="Times New Roman" w:hAnsi="Arial" w:cs="Arial"/>
                  <w:color w:val="19467F"/>
                  <w:sz w:val="18"/>
                  <w:szCs w:val="18"/>
                  <w:u w:val="single"/>
                  <w:bdr w:val="none" w:sz="0" w:space="0" w:color="auto" w:frame="1"/>
                  <w:lang w:eastAsia="vi-VN"/>
                </w:rPr>
                <w:t>Luật 72/2006/QH11</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1" w:tgtFrame="_blank" w:tooltip="Nghị định 126/2007/NĐ-CP" w:history="1">
              <w:r w:rsidRPr="00CE40D5">
                <w:rPr>
                  <w:rFonts w:ascii="Arial" w:eastAsia="Times New Roman" w:hAnsi="Arial" w:cs="Arial"/>
                  <w:color w:val="19467F"/>
                  <w:sz w:val="18"/>
                  <w:szCs w:val="18"/>
                  <w:u w:val="single"/>
                  <w:bdr w:val="none" w:sz="0" w:space="0" w:color="auto" w:frame="1"/>
                  <w:lang w:eastAsia="vi-VN"/>
                </w:rPr>
                <w:t>Nghị định 126/2007/NĐ-CP</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2" w:tgtFrame="_blank" w:tooltip="Nghị định 34/2008/NĐ-CP" w:history="1">
              <w:r w:rsidRPr="00CE40D5">
                <w:rPr>
                  <w:rFonts w:ascii="Arial" w:eastAsia="Times New Roman" w:hAnsi="Arial" w:cs="Arial"/>
                  <w:color w:val="19467F"/>
                  <w:sz w:val="18"/>
                  <w:szCs w:val="18"/>
                  <w:u w:val="single"/>
                  <w:bdr w:val="none" w:sz="0" w:space="0" w:color="auto" w:frame="1"/>
                  <w:lang w:eastAsia="vi-VN"/>
                </w:rPr>
                <w:t>Nghị định 34/2008/NĐ-CP</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3" w:tgtFrame="_blank" w:tooltip="Luật 40/2009/QH12" w:history="1">
              <w:r w:rsidRPr="00CE40D5">
                <w:rPr>
                  <w:rFonts w:ascii="Arial" w:eastAsia="Times New Roman" w:hAnsi="Arial" w:cs="Arial"/>
                  <w:color w:val="19467F"/>
                  <w:sz w:val="18"/>
                  <w:szCs w:val="18"/>
                  <w:u w:val="single"/>
                  <w:bdr w:val="none" w:sz="0" w:space="0" w:color="auto" w:frame="1"/>
                  <w:lang w:eastAsia="vi-VN"/>
                </w:rPr>
                <w:t>Luật 40/2009/QH12</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4" w:tgtFrame="_blank" w:tooltip="Nghị định 46/2011/NĐ-CP" w:history="1">
              <w:r w:rsidRPr="00CE40D5">
                <w:rPr>
                  <w:rFonts w:ascii="Arial" w:eastAsia="Times New Roman" w:hAnsi="Arial" w:cs="Arial"/>
                  <w:color w:val="19467F"/>
                  <w:sz w:val="18"/>
                  <w:szCs w:val="18"/>
                  <w:u w:val="single"/>
                  <w:bdr w:val="none" w:sz="0" w:space="0" w:color="auto" w:frame="1"/>
                  <w:lang w:eastAsia="vi-VN"/>
                </w:rPr>
                <w:t>Nghị định 46/2011/NĐ-CP</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5" w:tgtFrame="_blank" w:tooltip="Bộ luật 10/2012/QH13" w:history="1">
              <w:r w:rsidRPr="00CE40D5">
                <w:rPr>
                  <w:rFonts w:ascii="Arial" w:eastAsia="Times New Roman" w:hAnsi="Arial" w:cs="Arial"/>
                  <w:color w:val="19467F"/>
                  <w:sz w:val="18"/>
                  <w:szCs w:val="18"/>
                  <w:u w:val="single"/>
                  <w:bdr w:val="none" w:sz="0" w:space="0" w:color="auto" w:frame="1"/>
                  <w:lang w:eastAsia="vi-VN"/>
                </w:rPr>
                <w:t>Bộ luật 10/2012/QH13</w:t>
              </w:r>
            </w:hyperlink>
          </w:p>
          <w:p w:rsidR="00CE40D5" w:rsidRPr="00CE40D5" w:rsidRDefault="00CE40D5" w:rsidP="00CE40D5">
            <w:pPr>
              <w:numPr>
                <w:ilvl w:val="0"/>
                <w:numId w:val="1"/>
              </w:numPr>
              <w:spacing w:after="0" w:line="270" w:lineRule="atLeast"/>
              <w:ind w:left="0"/>
              <w:textAlignment w:val="baseline"/>
              <w:rPr>
                <w:rFonts w:ascii="Arial" w:eastAsia="Times New Roman" w:hAnsi="Arial" w:cs="Arial"/>
                <w:color w:val="333333"/>
                <w:sz w:val="18"/>
                <w:szCs w:val="18"/>
                <w:lang w:eastAsia="vi-VN"/>
              </w:rPr>
            </w:pPr>
            <w:hyperlink r:id="rId16" w:tgtFrame="_blank" w:tooltip="Thông tư 14/2013/TT-BYT" w:history="1">
              <w:r w:rsidRPr="00CE40D5">
                <w:rPr>
                  <w:rFonts w:ascii="Arial" w:eastAsia="Times New Roman" w:hAnsi="Arial" w:cs="Arial"/>
                  <w:color w:val="19467F"/>
                  <w:sz w:val="18"/>
                  <w:szCs w:val="18"/>
                  <w:u w:val="single"/>
                  <w:bdr w:val="none" w:sz="0" w:space="0" w:color="auto" w:frame="1"/>
                  <w:lang w:eastAsia="vi-VN"/>
                </w:rPr>
                <w:t>Thông tư 14/2013/TT-BYT</w:t>
              </w:r>
            </w:hyperlink>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Yêu cầu hoặc điều kiện để thực hiện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textAlignment w:val="baseline"/>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w:t>
            </w:r>
          </w:p>
        </w:tc>
      </w:tr>
      <w:tr w:rsidR="00CE40D5" w:rsidRPr="00CE40D5" w:rsidTr="00CE40D5">
        <w:tc>
          <w:tcPr>
            <w:tcW w:w="3000" w:type="dxa"/>
            <w:tcBorders>
              <w:top w:val="single" w:sz="6" w:space="0" w:color="DDDDDD"/>
              <w:left w:val="single" w:sz="6" w:space="0" w:color="DDDDDD"/>
              <w:bottom w:val="single" w:sz="6" w:space="0" w:color="DDDDDD"/>
              <w:right w:val="single" w:sz="6" w:space="0" w:color="DDDDDD"/>
            </w:tcBorders>
            <w:shd w:val="clear" w:color="auto" w:fill="F5F5F5"/>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b/>
                <w:bCs/>
                <w:color w:val="333333"/>
                <w:sz w:val="18"/>
                <w:szCs w:val="18"/>
                <w:lang w:eastAsia="vi-VN"/>
              </w:rPr>
            </w:pPr>
            <w:r w:rsidRPr="00CE40D5">
              <w:rPr>
                <w:rFonts w:ascii="Arial" w:eastAsia="Times New Roman" w:hAnsi="Arial" w:cs="Arial"/>
                <w:b/>
                <w:bCs/>
                <w:color w:val="333333"/>
                <w:sz w:val="18"/>
                <w:szCs w:val="18"/>
                <w:lang w:eastAsia="vi-VN"/>
              </w:rPr>
              <w:t>Đánh giá tác động TTHC</w:t>
            </w:r>
          </w:p>
        </w:tc>
        <w:tc>
          <w:tcPr>
            <w:tcW w:w="8205" w:type="dxa"/>
            <w:tcBorders>
              <w:top w:val="single" w:sz="6" w:space="0" w:color="DDDDDD"/>
              <w:left w:val="single" w:sz="6" w:space="0" w:color="DDDDDD"/>
              <w:bottom w:val="single" w:sz="6" w:space="0" w:color="DDDDDD"/>
              <w:right w:val="single" w:sz="6" w:space="0" w:color="DDDDDD"/>
            </w:tcBorders>
            <w:shd w:val="clear" w:color="auto" w:fill="FFFFFF"/>
            <w:tcMar>
              <w:top w:w="105" w:type="dxa"/>
              <w:left w:w="105" w:type="dxa"/>
              <w:bottom w:w="105" w:type="dxa"/>
              <w:right w:w="105" w:type="dxa"/>
            </w:tcMar>
            <w:vAlign w:val="bottom"/>
            <w:hideMark/>
          </w:tcPr>
          <w:p w:rsidR="00CE40D5" w:rsidRPr="00CE40D5" w:rsidRDefault="00CE40D5" w:rsidP="00CE40D5">
            <w:pPr>
              <w:spacing w:after="0" w:line="240" w:lineRule="atLeast"/>
              <w:rPr>
                <w:rFonts w:ascii="Arial" w:eastAsia="Times New Roman" w:hAnsi="Arial" w:cs="Arial"/>
                <w:color w:val="333333"/>
                <w:sz w:val="18"/>
                <w:szCs w:val="18"/>
                <w:lang w:eastAsia="vi-VN"/>
              </w:rPr>
            </w:pPr>
            <w:r w:rsidRPr="00CE40D5">
              <w:rPr>
                <w:rFonts w:ascii="Arial" w:eastAsia="Times New Roman" w:hAnsi="Arial" w:cs="Arial"/>
                <w:color w:val="333333"/>
                <w:sz w:val="18"/>
                <w:szCs w:val="18"/>
                <w:lang w:eastAsia="vi-VN"/>
              </w:rPr>
              <w:t>Không có thông tin</w:t>
            </w:r>
          </w:p>
        </w:tc>
      </w:tr>
    </w:tbl>
    <w:p w:rsidR="00CD18B0" w:rsidRDefault="00CD18B0">
      <w:bookmarkStart w:id="0" w:name="_GoBack"/>
      <w:bookmarkEnd w:id="0"/>
    </w:p>
    <w:sectPr w:rsidR="00CD18B0" w:rsidSect="00CE40D5">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346ED"/>
    <w:multiLevelType w:val="multilevel"/>
    <w:tmpl w:val="60CA8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946"/>
    <w:rsid w:val="00CD18B0"/>
    <w:rsid w:val="00CE40D5"/>
    <w:rsid w:val="00F6494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79056">
      <w:bodyDiv w:val="1"/>
      <w:marLeft w:val="0"/>
      <w:marRight w:val="0"/>
      <w:marTop w:val="0"/>
      <w:marBottom w:val="0"/>
      <w:divBdr>
        <w:top w:val="none" w:sz="0" w:space="0" w:color="auto"/>
        <w:left w:val="none" w:sz="0" w:space="0" w:color="auto"/>
        <w:bottom w:val="none" w:sz="0" w:space="0" w:color="auto"/>
        <w:right w:val="none" w:sz="0" w:space="0" w:color="auto"/>
      </w:divBdr>
      <w:divsChild>
        <w:div w:id="651452204">
          <w:marLeft w:val="0"/>
          <w:marRight w:val="0"/>
          <w:marTop w:val="0"/>
          <w:marBottom w:val="0"/>
          <w:divBdr>
            <w:top w:val="none" w:sz="0" w:space="0" w:color="auto"/>
            <w:left w:val="none" w:sz="0" w:space="0" w:color="auto"/>
            <w:bottom w:val="none" w:sz="0" w:space="0" w:color="auto"/>
            <w:right w:val="none" w:sz="0" w:space="0" w:color="auto"/>
          </w:divBdr>
        </w:div>
        <w:div w:id="1348947171">
          <w:marLeft w:val="0"/>
          <w:marRight w:val="0"/>
          <w:marTop w:val="0"/>
          <w:marBottom w:val="0"/>
          <w:divBdr>
            <w:top w:val="none" w:sz="0" w:space="0" w:color="auto"/>
            <w:left w:val="none" w:sz="0" w:space="0" w:color="auto"/>
            <w:bottom w:val="none" w:sz="0" w:space="0" w:color="auto"/>
            <w:right w:val="none" w:sz="0" w:space="0" w:color="auto"/>
          </w:divBdr>
        </w:div>
        <w:div w:id="1654291312">
          <w:marLeft w:val="0"/>
          <w:marRight w:val="0"/>
          <w:marTop w:val="0"/>
          <w:marBottom w:val="0"/>
          <w:divBdr>
            <w:top w:val="none" w:sz="0" w:space="0" w:color="auto"/>
            <w:left w:val="none" w:sz="0" w:space="0" w:color="auto"/>
            <w:bottom w:val="none" w:sz="0" w:space="0" w:color="auto"/>
            <w:right w:val="none" w:sz="0" w:space="0" w:color="auto"/>
          </w:divBdr>
        </w:div>
        <w:div w:id="1411930462">
          <w:marLeft w:val="0"/>
          <w:marRight w:val="0"/>
          <w:marTop w:val="0"/>
          <w:marBottom w:val="0"/>
          <w:divBdr>
            <w:top w:val="none" w:sz="0" w:space="0" w:color="auto"/>
            <w:left w:val="none" w:sz="0" w:space="0" w:color="auto"/>
            <w:bottom w:val="none" w:sz="0" w:space="0" w:color="auto"/>
            <w:right w:val="none" w:sz="0" w:space="0" w:color="auto"/>
          </w:divBdr>
        </w:div>
        <w:div w:id="19334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huoctinh.aspx?ItemID=9926" TargetMode="External"/><Relationship Id="rId13" Type="http://schemas.openxmlformats.org/officeDocument/2006/relationships/hyperlink" Target="http://vbpl.vn/TW/Pages/vbpq-thuoctinh.aspx?ItemID=2517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vbpl.vn/TW/Pages/vbpq-thuoctinh.aspx?ItemID=9926" TargetMode="External"/><Relationship Id="rId12" Type="http://schemas.openxmlformats.org/officeDocument/2006/relationships/hyperlink" Target="http://vbpl.vn/TW/Pages/vbpq-thuoctinh.aspx?ItemID=1278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vbpl.vn/TW/Pages/vbpq-thuoctinh.aspx?ItemID=46957" TargetMode="External"/><Relationship Id="rId1" Type="http://schemas.openxmlformats.org/officeDocument/2006/relationships/numbering" Target="numbering.xml"/><Relationship Id="rId6" Type="http://schemas.openxmlformats.org/officeDocument/2006/relationships/hyperlink" Target="http://csdl.thutuchanhchinh.vn/TW/Lists/MauDonToKhai/Attachments/16307/ph%E1%BB%A5%20l%E1%BB%A5c%201.docx" TargetMode="External"/><Relationship Id="rId11" Type="http://schemas.openxmlformats.org/officeDocument/2006/relationships/hyperlink" Target="http://vbpl.vn/TW/Pages/vbpq-thuoctinh.aspx?ItemID=13759" TargetMode="External"/><Relationship Id="rId5" Type="http://schemas.openxmlformats.org/officeDocument/2006/relationships/webSettings" Target="webSettings.xml"/><Relationship Id="rId15" Type="http://schemas.openxmlformats.org/officeDocument/2006/relationships/hyperlink" Target="http://vbpl.vn/TW/Pages/vbpq-thuoctinh.aspx?ItemID=27615" TargetMode="External"/><Relationship Id="rId10" Type="http://schemas.openxmlformats.org/officeDocument/2006/relationships/hyperlink" Target="http://vbpl.vn/TW/Pages/vbpq-thuoctinh.aspx?ItemID=14276" TargetMode="External"/><Relationship Id="rId4" Type="http://schemas.openxmlformats.org/officeDocument/2006/relationships/settings" Target="settings.xml"/><Relationship Id="rId9" Type="http://schemas.openxmlformats.org/officeDocument/2006/relationships/hyperlink" Target="http://vbpl.vn/TW/Pages/vbpq-thuoctinh.aspx?ItemID=21827" TargetMode="External"/><Relationship Id="rId14" Type="http://schemas.openxmlformats.org/officeDocument/2006/relationships/hyperlink" Target="http://vbpl.vn/TW/Pages/vbpq-thuoctinh.aspx?ItemID=265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dc:creator>
  <cp:lastModifiedBy>MOC</cp:lastModifiedBy>
  <cp:revision>2</cp:revision>
  <dcterms:created xsi:type="dcterms:W3CDTF">2019-11-07T04:19:00Z</dcterms:created>
  <dcterms:modified xsi:type="dcterms:W3CDTF">2019-11-07T04:19:00Z</dcterms:modified>
</cp:coreProperties>
</file>