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35" w:type="dxa"/>
        <w:shd w:val="clear" w:color="auto" w:fill="FFFFFF"/>
        <w:tblCellMar>
          <w:left w:w="0" w:type="dxa"/>
          <w:right w:w="0" w:type="dxa"/>
        </w:tblCellMar>
        <w:tblLook w:val="04A0" w:firstRow="1" w:lastRow="0" w:firstColumn="1" w:lastColumn="0" w:noHBand="0" w:noVBand="1"/>
      </w:tblPr>
      <w:tblGrid>
        <w:gridCol w:w="3000"/>
        <w:gridCol w:w="8551"/>
        <w:gridCol w:w="199"/>
        <w:gridCol w:w="85"/>
      </w:tblGrid>
      <w:tr w:rsidR="0015577B" w:rsidRPr="0015577B" w:rsidTr="0015577B">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Cơ quan Công bố/Công khai</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Bảo hiểm Xã hội Việt Nam</w:t>
            </w:r>
          </w:p>
        </w:tc>
      </w:tr>
      <w:tr w:rsidR="0015577B" w:rsidRPr="0015577B" w:rsidTr="0015577B">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Mã thủ tục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BXH-250317</w:t>
            </w:r>
          </w:p>
        </w:tc>
      </w:tr>
      <w:tr w:rsidR="0015577B" w:rsidRPr="0015577B" w:rsidTr="0015577B">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Cấp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Cấp Tỉnh, Cấp Huyện</w:t>
            </w:r>
          </w:p>
        </w:tc>
      </w:tr>
      <w:tr w:rsidR="0015577B" w:rsidRPr="0015577B" w:rsidTr="0015577B">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Loại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TTHC được luật giao quy định chi tiết</w:t>
            </w:r>
          </w:p>
        </w:tc>
      </w:tr>
      <w:tr w:rsidR="0015577B" w:rsidRPr="0015577B" w:rsidTr="0015577B">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Lĩnh vực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Thực hiện chính sách bảo hiểm y tế</w:t>
            </w:r>
          </w:p>
        </w:tc>
      </w:tr>
      <w:tr w:rsidR="0015577B" w:rsidRPr="0015577B" w:rsidTr="0015577B">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Trình tự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textAlignment w:val="baseline"/>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1. Bước 1: Đối với người đi khám bệnh, chữa bệnh:</w:t>
            </w:r>
          </w:p>
          <w:p w:rsidR="0015577B" w:rsidRPr="0015577B" w:rsidRDefault="0015577B" w:rsidP="0015577B">
            <w:pPr>
              <w:spacing w:after="0" w:line="240" w:lineRule="atLeast"/>
              <w:textAlignment w:val="baseline"/>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 Người có thẻ BHYT khi đến khám bệnh, chữa bệnh phải xuất trình ngay thẻ BHYT có ảnh, trường hợp thẻ BHYT không có ảnh thì phải xuất trình thẻ BHYT cùng với một loại giấy tờ chứng minh về nhân thân có ảnh hợp lệ do cơ quan có thẩm quyền cấp; Ngoài ra, tuỳ từng trường hợp phải xuất trình thêm một số giấy tờ khác (quy định trong thành phần hồ sơ).</w:t>
            </w:r>
          </w:p>
          <w:p w:rsidR="0015577B" w:rsidRPr="0015577B" w:rsidRDefault="0015577B" w:rsidP="0015577B">
            <w:pPr>
              <w:spacing w:after="0" w:line="240" w:lineRule="atLeast"/>
              <w:textAlignment w:val="baseline"/>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 Trong trường hợp cấp cứu: trước khi ra viện người bệnh phải xuất trình thẻ BHYT cùng với một loại giấy tờ có ảnh hợp lệ để được h</w:t>
            </w:r>
            <w:bookmarkStart w:id="0" w:name="_GoBack"/>
            <w:bookmarkEnd w:id="0"/>
            <w:r w:rsidRPr="0015577B">
              <w:rPr>
                <w:rFonts w:ascii="Arial" w:eastAsia="Times New Roman" w:hAnsi="Arial" w:cs="Arial"/>
                <w:color w:val="333333"/>
                <w:sz w:val="18"/>
                <w:szCs w:val="18"/>
                <w:lang w:eastAsia="vi-VN"/>
              </w:rPr>
              <w:t>ưởng đầy đủ quyền lợi BHYT ngay tại cơ sở khám bệnh, chữa bệnh.</w:t>
            </w:r>
          </w:p>
          <w:p w:rsidR="0015577B" w:rsidRPr="0015577B" w:rsidRDefault="0015577B" w:rsidP="0015577B">
            <w:pPr>
              <w:spacing w:after="0" w:line="240" w:lineRule="atLeast"/>
              <w:textAlignment w:val="baseline"/>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2. Bước 2: Đối với cơ sở khám bệnh, chữa bệnh </w:t>
            </w:r>
          </w:p>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Tiếp nhận và kiểm tra tính hợp lệ của các giấy tờ người bệnh xuất trình, trường hợp đủ điều kiện thì giải quyết cho người bệnh hưởng chế độ BHYT ngay tại cơ sở khám bệnh, chữa bệnh.             </w:t>
            </w:r>
          </w:p>
        </w:tc>
      </w:tr>
      <w:tr w:rsidR="0015577B" w:rsidRPr="0015577B" w:rsidTr="0015577B">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Cách thức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Tại cơ sở khám bệnh, chữa bệnh BHYT  </w:t>
            </w:r>
          </w:p>
        </w:tc>
      </w:tr>
      <w:tr w:rsidR="0015577B" w:rsidRPr="0015577B" w:rsidTr="0015577B">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Thành phần hồ sơ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1905"/>
              <w:gridCol w:w="2432"/>
              <w:gridCol w:w="1928"/>
              <w:gridCol w:w="2060"/>
            </w:tblGrid>
            <w:tr w:rsidR="0015577B" w:rsidRPr="0015577B">
              <w:tc>
                <w:tcPr>
                  <w:tcW w:w="34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STT</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Loại giấy tờ</w:t>
                  </w:r>
                </w:p>
              </w:tc>
              <w:tc>
                <w:tcPr>
                  <w:tcW w:w="226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Mẫu đơn, tờ khai</w:t>
                  </w:r>
                </w:p>
              </w:tc>
              <w:tc>
                <w:tcPr>
                  <w:tcW w:w="102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Số lượng</w:t>
                  </w:r>
                </w:p>
              </w:tc>
            </w:tr>
            <w:tr w:rsidR="0015577B" w:rsidRPr="0015577B">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sz w:val="18"/>
                      <w:szCs w:val="18"/>
                      <w:lang w:eastAsia="vi-VN"/>
                    </w:rPr>
                  </w:pPr>
                  <w:r w:rsidRPr="0015577B">
                    <w:rPr>
                      <w:rFonts w:ascii="Arial" w:eastAsia="Times New Roman" w:hAnsi="Arial" w:cs="Arial"/>
                      <w:sz w:val="18"/>
                      <w:szCs w:val="18"/>
                      <w:lang w:eastAsia="vi-VN"/>
                    </w:rPr>
                    <w:t>1</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sz w:val="18"/>
                      <w:szCs w:val="18"/>
                      <w:lang w:eastAsia="vi-VN"/>
                    </w:rPr>
                  </w:pPr>
                  <w:r w:rsidRPr="0015577B">
                    <w:rPr>
                      <w:rFonts w:ascii="Arial" w:eastAsia="Times New Roman" w:hAnsi="Arial" w:cs="Arial"/>
                      <w:sz w:val="18"/>
                      <w:szCs w:val="18"/>
                      <w:lang w:eastAsia="vi-VN"/>
                    </w:rPr>
                    <w:t xml:space="preserve">1. Trường hợp khám bệnh, chữa bệnh theo đúng nơi đăng ký khám bệnh, chữa bệnh ban đầu ghi trên thẻ - Thẻ BHYT còn giá trị sử dụng (bản chính); - Xuất trình một trong các loại giấy tờ chứng minh về nhân thân có ảnh hợp lệ do cơ quan có thẩm quyền cấp như: Giấy Chứng minh </w:t>
                  </w:r>
                  <w:r w:rsidRPr="0015577B">
                    <w:rPr>
                      <w:rFonts w:ascii="Arial" w:eastAsia="Times New Roman" w:hAnsi="Arial" w:cs="Arial"/>
                      <w:sz w:val="18"/>
                      <w:szCs w:val="18"/>
                      <w:lang w:eastAsia="vi-VN"/>
                    </w:rPr>
                    <w:lastRenderedPageBreak/>
                    <w:t xml:space="preserve">nhân dân, Hộ chiếu, Thẻ Đảng viên, Thẻ Công an nhân dân, Thẻ quân nhân,Thẻ đoàn viên công đoàn, Thẻ học sinh, Thẻ sinh viên, Thẻ cựu chiến binh, Giấy phép lái xe hoặc một loại giấy tờ có ảnh hợp lệ khác. - Đối với trẻ em dưới 6 tuổi khi đến cơ sở khám bệnh, chữa bệnh chỉ phải xuất trình thẻ BHYT; trường hợp chưa được cấp thẻ BHYT thì xuất trình giấy khai sinh hoặc giấy chứng sinh; trường hợp phải điều trị ngay sau khi sinh mà chưa có giấy chứng sinh thì thủ trưởng cơ sở khám bệnh, chữa bệnh và cha (mẹ) hoặc người giám hộ của trẻ ký xác nhận vào hồ sơ bệnh án để thanh toán với cơ quan BHXH. - Nếu là người đã hiến bộ phận cơ thể mà chưa có thẻ BHYT thì xuất trình Giấy ra viện của lần hiến tạng. - Người tham gia BHYT trong thời gian chờ cấp lại thẻ, đổi thẻ BHYT khi đến khám bệnh, chữa bệnh phải xuất trình Giấy tiếp nhận hồ sơ và hẹn trả kết quả do cơ quan Bảo hiểm </w:t>
                  </w:r>
                  <w:r w:rsidRPr="0015577B">
                    <w:rPr>
                      <w:rFonts w:ascii="Arial" w:eastAsia="Times New Roman" w:hAnsi="Arial" w:cs="Arial"/>
                      <w:sz w:val="18"/>
                      <w:szCs w:val="18"/>
                      <w:lang w:eastAsia="vi-VN"/>
                    </w:rPr>
                    <w:lastRenderedPageBreak/>
                    <w:t>xã hội cấp (theo Mẫu số 01 ban hành kèm theo Quyết định số 999/QĐ-BHXH ngày 24/9/2015 của BHXH Việt Nam); trên đó ghi đầy đủ các thông tin trên thẻ của người tham gia BHYT; thời hạn sử dụng trong 07 ngày kể từ ngày cấp. Giám đốc BHXH tỉnh hoặc giám đốc BHXH huyện ký, ghi rõ họ tên, đóng dấu); - Xuất trình thêm Giấy chứng nhận không cùng chi trả trong năm theo mẫu số 05/BHYT ban hành kèm theo Quyết định số 1399/QĐ-BHXH của BHXH Việt Nam để được miễn phần cùng chi trả trong năm khi khám bệnh, chữa bệnh đúng tuyến (nếu có).</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sz w:val="18"/>
                      <w:szCs w:val="18"/>
                      <w:lang w:eastAsia="vi-VN"/>
                    </w:rPr>
                  </w:pP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sz w:val="18"/>
                      <w:szCs w:val="18"/>
                      <w:lang w:eastAsia="vi-VN"/>
                    </w:rPr>
                  </w:pPr>
                </w:p>
              </w:tc>
            </w:tr>
            <w:tr w:rsidR="0015577B" w:rsidRPr="0015577B">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sz w:val="18"/>
                      <w:szCs w:val="18"/>
                      <w:lang w:eastAsia="vi-VN"/>
                    </w:rPr>
                  </w:pPr>
                  <w:r w:rsidRPr="0015577B">
                    <w:rPr>
                      <w:rFonts w:ascii="Arial" w:eastAsia="Times New Roman" w:hAnsi="Arial" w:cs="Arial"/>
                      <w:sz w:val="18"/>
                      <w:szCs w:val="18"/>
                      <w:lang w:eastAsia="vi-VN"/>
                    </w:rPr>
                    <w:lastRenderedPageBreak/>
                    <w:t>2</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sz w:val="18"/>
                      <w:szCs w:val="18"/>
                      <w:lang w:eastAsia="vi-VN"/>
                    </w:rPr>
                  </w:pPr>
                  <w:r w:rsidRPr="0015577B">
                    <w:rPr>
                      <w:rFonts w:ascii="Arial" w:eastAsia="Times New Roman" w:hAnsi="Arial" w:cs="Arial"/>
                      <w:sz w:val="18"/>
                      <w:szCs w:val="18"/>
                      <w:lang w:eastAsia="vi-VN"/>
                    </w:rPr>
                    <w:t>2. Các trường hợp khác Ngoài việc xuất trình các loại giấy tờ nêu tại Điểm 1 nêu trên, tùy từng trường hợp mà phải xuất trình thêm: - Trường hợp được chuyển tuyến chuyên môn kỹ thuật theo quy định của Bộ Y tế: Giấy chuyển tuyến theo quy định tại Phụ lục số 01 ban hành kèm theo Thông tư số 14/2014/TT-</w:t>
                  </w:r>
                  <w:r w:rsidRPr="0015577B">
                    <w:rPr>
                      <w:rFonts w:ascii="Arial" w:eastAsia="Times New Roman" w:hAnsi="Arial" w:cs="Arial"/>
                      <w:sz w:val="18"/>
                      <w:szCs w:val="18"/>
                      <w:lang w:eastAsia="vi-VN"/>
                    </w:rPr>
                    <w:lastRenderedPageBreak/>
                    <w:t xml:space="preserve">BYT-BTC; - Trường hợp đến khám lại theo yêu cầu của cơ sở khám bệnh, chữa bệnh BHYT tuyến trên không qua nơi đăng ký khám bệnh, chữa bệnh ban đầu: Giấy hẹn khám lại của cơ sở khám bệnh, chữa bệnh (cơ sở khám bệnh, chữa bệnh tuyến trên hẹn người bệnh đến khám lại ghi trên Giấy ra viện hoặc Sổ khám bệnh) (bản chính). Mỗi giấy hẹn khám lại được sử dụng 01 lần theo thời gian ghi trên giấy hẹn. - Trường hợp khám bệnh, chữa bệnh khi đi công tác; làm việc lưu động; đi học tập trung theo các hình thức đào tạo, chương trình đào tạo, tạm trú (không phải trong tình trạng cấp cứu): được khám bệnh, chữa bệnh ban đầu tại cơ sở khám bệnh, chữa bệnh cùng tuyến chuyên môn kỹ thuật hoặc tương đương với cơ sở đăng ký khám bệnh, chữa bệnh ban đầu ghi trên thẻ BHYT và phải xuất trình một trong các giấy tờ sau đây: giấy công tác, quyết định cử đi học, giấy tờ chứng minh </w:t>
                  </w:r>
                  <w:r w:rsidRPr="0015577B">
                    <w:rPr>
                      <w:rFonts w:ascii="Arial" w:eastAsia="Times New Roman" w:hAnsi="Arial" w:cs="Arial"/>
                      <w:sz w:val="18"/>
                      <w:szCs w:val="18"/>
                      <w:lang w:eastAsia="vi-VN"/>
                    </w:rPr>
                    <w:lastRenderedPageBreak/>
                    <w:t>đăng ký tạm trú (bản chính hoặc bản sao)</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sz w:val="18"/>
                      <w:szCs w:val="18"/>
                      <w:lang w:eastAsia="vi-VN"/>
                    </w:rPr>
                  </w:pP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sz w:val="18"/>
                      <w:szCs w:val="18"/>
                      <w:lang w:eastAsia="vi-VN"/>
                    </w:rPr>
                  </w:pPr>
                </w:p>
              </w:tc>
            </w:tr>
          </w:tbl>
          <w:p w:rsidR="0015577B" w:rsidRPr="0015577B" w:rsidRDefault="0015577B" w:rsidP="0015577B">
            <w:pPr>
              <w:spacing w:after="0" w:line="240" w:lineRule="atLeast"/>
              <w:rPr>
                <w:rFonts w:ascii="Arial" w:eastAsia="Times New Roman" w:hAnsi="Arial" w:cs="Arial"/>
                <w:color w:val="333333"/>
                <w:sz w:val="18"/>
                <w:szCs w:val="18"/>
                <w:lang w:eastAsia="vi-VN"/>
              </w:rPr>
            </w:pP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lastRenderedPageBreak/>
              <w:t>Số bộ hồ sơ</w:t>
            </w:r>
          </w:p>
        </w:tc>
        <w:tc>
          <w:tcPr>
            <w:tcW w:w="8205" w:type="dxa"/>
            <w:gridSpan w:val="3"/>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01 bộ</w:t>
            </w: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Phí</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4200"/>
              <w:gridCol w:w="4125"/>
            </w:tblGrid>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hyperlink r:id="rId6" w:history="1">
                    <w:r w:rsidRPr="0015577B">
                      <w:rPr>
                        <w:rFonts w:ascii="Arial" w:eastAsia="Times New Roman" w:hAnsi="Arial" w:cs="Arial"/>
                        <w:b/>
                        <w:bCs/>
                        <w:color w:val="19467F"/>
                        <w:sz w:val="18"/>
                        <w:szCs w:val="18"/>
                        <w:bdr w:val="none" w:sz="0" w:space="0" w:color="auto" w:frame="1"/>
                        <w:lang w:eastAsia="vi-VN"/>
                      </w:rPr>
                      <w:t>Mô tả</w:t>
                    </w:r>
                  </w:hyperlink>
                </w:p>
              </w:tc>
              <w:tc>
                <w:tcPr>
                  <w:tcW w:w="226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hyperlink r:id="rId7" w:history="1">
                    <w:r w:rsidRPr="0015577B">
                      <w:rPr>
                        <w:rFonts w:ascii="Arial" w:eastAsia="Times New Roman" w:hAnsi="Arial" w:cs="Arial"/>
                        <w:b/>
                        <w:bCs/>
                        <w:color w:val="19467F"/>
                        <w:sz w:val="18"/>
                        <w:szCs w:val="18"/>
                        <w:bdr w:val="none" w:sz="0" w:space="0" w:color="auto" w:frame="1"/>
                        <w:lang w:eastAsia="vi-VN"/>
                      </w:rPr>
                      <w:t>Mức phí</w:t>
                    </w:r>
                  </w:hyperlink>
                </w:p>
              </w:tc>
            </w:tr>
            <w:tr w:rsidR="0015577B" w:rsidRPr="0015577B" w:rsidTr="0015577B">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sz w:val="18"/>
                      <w:szCs w:val="18"/>
                      <w:lang w:eastAsia="vi-VN"/>
                    </w:rPr>
                  </w:pPr>
                  <w:r w:rsidRPr="0015577B">
                    <w:rPr>
                      <w:rFonts w:ascii="Arial" w:eastAsia="Times New Roman" w:hAnsi="Arial" w:cs="Arial"/>
                      <w:sz w:val="18"/>
                      <w:szCs w:val="18"/>
                      <w:lang w:eastAsia="vi-VN"/>
                    </w:rPr>
                    <w:t>Không</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sz w:val="18"/>
                      <w:szCs w:val="18"/>
                      <w:lang w:eastAsia="vi-VN"/>
                    </w:rPr>
                  </w:pPr>
                </w:p>
              </w:tc>
            </w:tr>
          </w:tbl>
          <w:p w:rsidR="0015577B" w:rsidRPr="0015577B" w:rsidRDefault="0015577B" w:rsidP="0015577B">
            <w:pPr>
              <w:spacing w:after="0" w:line="240" w:lineRule="atLeast"/>
              <w:textAlignment w:val="baseline"/>
              <w:rPr>
                <w:rFonts w:ascii="Arial" w:eastAsia="Times New Roman" w:hAnsi="Arial" w:cs="Arial"/>
                <w:color w:val="333333"/>
                <w:sz w:val="18"/>
                <w:szCs w:val="18"/>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Lệ phí</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4200"/>
              <w:gridCol w:w="4125"/>
            </w:tblGrid>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hyperlink r:id="rId8" w:history="1">
                    <w:r w:rsidRPr="0015577B">
                      <w:rPr>
                        <w:rFonts w:ascii="Arial" w:eastAsia="Times New Roman" w:hAnsi="Arial" w:cs="Arial"/>
                        <w:b/>
                        <w:bCs/>
                        <w:color w:val="19467F"/>
                        <w:sz w:val="18"/>
                        <w:szCs w:val="18"/>
                        <w:bdr w:val="none" w:sz="0" w:space="0" w:color="auto" w:frame="1"/>
                        <w:lang w:eastAsia="vi-VN"/>
                      </w:rPr>
                      <w:t>Mô tả</w:t>
                    </w:r>
                  </w:hyperlink>
                </w:p>
              </w:tc>
              <w:tc>
                <w:tcPr>
                  <w:tcW w:w="226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hyperlink r:id="rId9" w:history="1">
                    <w:r w:rsidRPr="0015577B">
                      <w:rPr>
                        <w:rFonts w:ascii="Arial" w:eastAsia="Times New Roman" w:hAnsi="Arial" w:cs="Arial"/>
                        <w:b/>
                        <w:bCs/>
                        <w:color w:val="19467F"/>
                        <w:sz w:val="18"/>
                        <w:szCs w:val="18"/>
                        <w:bdr w:val="none" w:sz="0" w:space="0" w:color="auto" w:frame="1"/>
                        <w:lang w:eastAsia="vi-VN"/>
                      </w:rPr>
                      <w:t>Mức lệ phí</w:t>
                    </w:r>
                  </w:hyperlink>
                </w:p>
              </w:tc>
            </w:tr>
            <w:tr w:rsidR="0015577B" w:rsidRPr="0015577B" w:rsidTr="0015577B">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sz w:val="18"/>
                      <w:szCs w:val="18"/>
                      <w:lang w:eastAsia="vi-VN"/>
                    </w:rPr>
                  </w:pPr>
                  <w:r w:rsidRPr="0015577B">
                    <w:rPr>
                      <w:rFonts w:ascii="Arial" w:eastAsia="Times New Roman" w:hAnsi="Arial" w:cs="Arial"/>
                      <w:sz w:val="18"/>
                      <w:szCs w:val="18"/>
                      <w:lang w:eastAsia="vi-VN"/>
                    </w:rPr>
                    <w:t>Không</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sz w:val="18"/>
                      <w:szCs w:val="18"/>
                      <w:lang w:eastAsia="vi-VN"/>
                    </w:rPr>
                  </w:pPr>
                </w:p>
              </w:tc>
            </w:tr>
          </w:tbl>
          <w:p w:rsidR="0015577B" w:rsidRPr="0015577B" w:rsidRDefault="0015577B" w:rsidP="0015577B">
            <w:pPr>
              <w:spacing w:after="0" w:line="240" w:lineRule="atLeast"/>
              <w:textAlignment w:val="baseline"/>
              <w:rPr>
                <w:rFonts w:ascii="Arial" w:eastAsia="Times New Roman" w:hAnsi="Arial" w:cs="Arial"/>
                <w:color w:val="333333"/>
                <w:sz w:val="18"/>
                <w:szCs w:val="18"/>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Mức giá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Thời hạn giải quyết</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 Giải quyết ngay</w:t>
            </w: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Đối tượng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Người có thẻ BHYT</w:t>
            </w: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Cơ quan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Cơ sở khám bệnh, chữa bệnh</w:t>
            </w: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Cơ quan có thẩm quyền quyết định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Địa chỉ tiếp nhận hồ sơ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Cơ quan được ủy quyền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Cơ quan phối hợp</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Kết quả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Được hưởng chế độ khám bệnh, chữa bệnh BHYT ngay tại cơ sở khám bệnh, chữa bệnh</w:t>
            </w: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Căn cứ pháp lý của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0" w:tgtFrame="_blank" w:tooltip="Nghị định 105/2014/NĐ-CP" w:history="1">
              <w:r w:rsidRPr="0015577B">
                <w:rPr>
                  <w:rFonts w:ascii="Arial" w:eastAsia="Times New Roman" w:hAnsi="Arial" w:cs="Arial"/>
                  <w:color w:val="19467F"/>
                  <w:sz w:val="18"/>
                  <w:szCs w:val="18"/>
                  <w:u w:val="single"/>
                  <w:bdr w:val="none" w:sz="0" w:space="0" w:color="auto" w:frame="1"/>
                  <w:lang w:eastAsia="vi-VN"/>
                </w:rPr>
                <w:t>Nghị định 105/2014/NĐ-CP</w:t>
              </w:r>
            </w:hyperlink>
          </w:p>
          <w:p w:rsidR="0015577B" w:rsidRPr="0015577B" w:rsidRDefault="0015577B" w:rsidP="0015577B">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1" w:tgtFrame="_blank" w:tooltip="Thông tư liên tịch 41/2014/TTLT-BYT-BTC" w:history="1">
              <w:r w:rsidRPr="0015577B">
                <w:rPr>
                  <w:rFonts w:ascii="Arial" w:eastAsia="Times New Roman" w:hAnsi="Arial" w:cs="Arial"/>
                  <w:color w:val="19467F"/>
                  <w:sz w:val="18"/>
                  <w:szCs w:val="18"/>
                  <w:u w:val="single"/>
                  <w:bdr w:val="none" w:sz="0" w:space="0" w:color="auto" w:frame="1"/>
                  <w:lang w:eastAsia="vi-VN"/>
                </w:rPr>
                <w:t>Thông tư liên tịch 41/2014/TTLT-BYT-BTC</w:t>
              </w:r>
            </w:hyperlink>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lastRenderedPageBreak/>
              <w:t>Yêu cầu hoặc điều kiện để thực hiện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Không   </w:t>
            </w: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r>
      <w:tr w:rsidR="0015577B" w:rsidRPr="0015577B" w:rsidTr="0015577B">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b/>
                <w:bCs/>
                <w:color w:val="333333"/>
                <w:sz w:val="18"/>
                <w:szCs w:val="18"/>
                <w:lang w:eastAsia="vi-VN"/>
              </w:rPr>
            </w:pPr>
            <w:r w:rsidRPr="0015577B">
              <w:rPr>
                <w:rFonts w:ascii="Arial" w:eastAsia="Times New Roman" w:hAnsi="Arial" w:cs="Arial"/>
                <w:b/>
                <w:bCs/>
                <w:color w:val="333333"/>
                <w:sz w:val="18"/>
                <w:szCs w:val="18"/>
                <w:lang w:eastAsia="vi-VN"/>
              </w:rPr>
              <w:t>Đánh giá tác động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15577B" w:rsidRPr="0015577B" w:rsidRDefault="0015577B" w:rsidP="0015577B">
            <w:pPr>
              <w:spacing w:after="0" w:line="240" w:lineRule="atLeast"/>
              <w:rPr>
                <w:rFonts w:ascii="Arial" w:eastAsia="Times New Roman" w:hAnsi="Arial" w:cs="Arial"/>
                <w:color w:val="333333"/>
                <w:sz w:val="18"/>
                <w:szCs w:val="18"/>
                <w:lang w:eastAsia="vi-VN"/>
              </w:rPr>
            </w:pPr>
            <w:r w:rsidRPr="0015577B">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15577B" w:rsidRPr="0015577B" w:rsidRDefault="0015577B" w:rsidP="0015577B">
            <w:pPr>
              <w:spacing w:after="0" w:line="240" w:lineRule="auto"/>
              <w:rPr>
                <w:rFonts w:ascii="Times New Roman" w:eastAsia="Times New Roman" w:hAnsi="Times New Roman" w:cs="Times New Roman"/>
                <w:sz w:val="20"/>
                <w:szCs w:val="20"/>
                <w:lang w:eastAsia="vi-VN"/>
              </w:rPr>
            </w:pPr>
          </w:p>
        </w:tc>
      </w:tr>
    </w:tbl>
    <w:p w:rsidR="00CD18B0" w:rsidRDefault="00CD18B0"/>
    <w:sectPr w:rsidR="00CD18B0" w:rsidSect="0015577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111F0"/>
    <w:multiLevelType w:val="multilevel"/>
    <w:tmpl w:val="C4C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73"/>
    <w:rsid w:val="0015577B"/>
    <w:rsid w:val="005F0173"/>
    <w:rsid w:val="00CD18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3883">
      <w:bodyDiv w:val="1"/>
      <w:marLeft w:val="0"/>
      <w:marRight w:val="0"/>
      <w:marTop w:val="0"/>
      <w:marBottom w:val="0"/>
      <w:divBdr>
        <w:top w:val="none" w:sz="0" w:space="0" w:color="auto"/>
        <w:left w:val="none" w:sz="0" w:space="0" w:color="auto"/>
        <w:bottom w:val="none" w:sz="0" w:space="0" w:color="auto"/>
        <w:right w:val="none" w:sz="0" w:space="0" w:color="auto"/>
      </w:divBdr>
      <w:divsChild>
        <w:div w:id="956371113">
          <w:marLeft w:val="0"/>
          <w:marRight w:val="0"/>
          <w:marTop w:val="0"/>
          <w:marBottom w:val="0"/>
          <w:divBdr>
            <w:top w:val="none" w:sz="0" w:space="0" w:color="auto"/>
            <w:left w:val="none" w:sz="0" w:space="0" w:color="auto"/>
            <w:bottom w:val="none" w:sz="0" w:space="0" w:color="auto"/>
            <w:right w:val="none" w:sz="0" w:space="0" w:color="auto"/>
          </w:divBdr>
        </w:div>
        <w:div w:id="515967596">
          <w:marLeft w:val="0"/>
          <w:marRight w:val="0"/>
          <w:marTop w:val="0"/>
          <w:marBottom w:val="0"/>
          <w:divBdr>
            <w:top w:val="none" w:sz="0" w:space="0" w:color="auto"/>
            <w:left w:val="none" w:sz="0" w:space="0" w:color="auto"/>
            <w:bottom w:val="none" w:sz="0" w:space="0" w:color="auto"/>
            <w:right w:val="none" w:sz="0" w:space="0" w:color="auto"/>
          </w:divBdr>
        </w:div>
        <w:div w:id="209527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thu-tuc-hanh-chinh.aspx?ItemID=591535&amp;Keyword=b%E1%BA%A3o%20hi%E1%BB%83m%20y%20t%E1%BA%BF&amp;filter=1&amp;tthcDonVi=B%E1%BA%A3o%20hi%E1%BB%83m%20X%C3%A3%20h%E1%BB%99i%20Vi%E1%BB%87t%20N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sdl.thutuchanhchinh.vn/tw/Pages/chi-tiet-thu-tuc-hanh-chinh.aspx?ItemID=591535&amp;Keyword=b%E1%BA%A3o%20hi%E1%BB%83m%20y%20t%E1%BA%BF&amp;filter=1&amp;tthcDonVi=B%E1%BA%A3o%20hi%E1%BB%83m%20X%C3%A3%20h%E1%BB%99i%20Vi%E1%BB%87t%20N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dl.thutuchanhchinh.vn/tw/Pages/chi-tiet-thu-tuc-hanh-chinh.aspx?ItemID=591535&amp;Keyword=b%E1%BA%A3o%20hi%E1%BB%83m%20y%20t%E1%BA%BF&amp;filter=1&amp;tthcDonVi=B%E1%BA%A3o%20hi%E1%BB%83m%20X%C3%A3%20h%E1%BB%99i%20Vi%E1%BB%87t%20Nam" TargetMode="External"/><Relationship Id="rId11" Type="http://schemas.openxmlformats.org/officeDocument/2006/relationships/hyperlink" Target="http://vbpl.vn/TW/Pages/vbpq-thuoctinh.aspx?ItemID=65845" TargetMode="External"/><Relationship Id="rId5" Type="http://schemas.openxmlformats.org/officeDocument/2006/relationships/webSettings" Target="webSettings.xml"/><Relationship Id="rId10" Type="http://schemas.openxmlformats.org/officeDocument/2006/relationships/hyperlink" Target="http://vbpl.vn/TW/Pages/vbpq-thuoctinh.aspx?ItemID=38018" TargetMode="External"/><Relationship Id="rId4" Type="http://schemas.openxmlformats.org/officeDocument/2006/relationships/settings" Target="settings.xml"/><Relationship Id="rId9" Type="http://schemas.openxmlformats.org/officeDocument/2006/relationships/hyperlink" Target="http://csdl.thutuchanhchinh.vn/tw/Pages/chi-tiet-thu-tuc-hanh-chinh.aspx?ItemID=591535&amp;Keyword=b%E1%BA%A3o%20hi%E1%BB%83m%20y%20t%E1%BA%BF&amp;filter=1&amp;tthcDonVi=B%E1%BA%A3o%20hi%E1%BB%83m%20X%C3%A3%20h%E1%BB%99i%20Vi%E1%BB%87t%20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dc:creator>
  <cp:lastModifiedBy>MOC</cp:lastModifiedBy>
  <cp:revision>2</cp:revision>
  <dcterms:created xsi:type="dcterms:W3CDTF">2019-11-07T07:12:00Z</dcterms:created>
  <dcterms:modified xsi:type="dcterms:W3CDTF">2019-11-07T07:12:00Z</dcterms:modified>
</cp:coreProperties>
</file>