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2" w:type="dxa"/>
        <w:shd w:val="clear" w:color="auto" w:fill="FFFFFF"/>
        <w:tblCellMar>
          <w:left w:w="0" w:type="dxa"/>
          <w:right w:w="0" w:type="dxa"/>
        </w:tblCellMar>
        <w:tblLook w:val="04A0" w:firstRow="1" w:lastRow="0" w:firstColumn="1" w:lastColumn="0" w:noHBand="0" w:noVBand="1"/>
      </w:tblPr>
      <w:tblGrid>
        <w:gridCol w:w="3000"/>
        <w:gridCol w:w="10552"/>
        <w:gridCol w:w="14"/>
        <w:gridCol w:w="6"/>
      </w:tblGrid>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Cơ quan Công bố/Công khai</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Bộ Y tế</w:t>
            </w: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Mã thủ tục</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BYT-287053</w:t>
            </w:r>
            <w:bookmarkStart w:id="0" w:name="_GoBack"/>
            <w:bookmarkEnd w:id="0"/>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Cấp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Loại TTHC</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TTHC không được luật giao cho địa phương quy định hoặc quy định chi tiết</w:t>
            </w: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Lĩnh vực</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Tài chính y tế</w:t>
            </w: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Trình tự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b/>
                <w:bCs/>
                <w:i/>
                <w:iCs/>
                <w:color w:val="333333"/>
                <w:sz w:val="18"/>
                <w:szCs w:val="18"/>
                <w:bdr w:val="none" w:sz="0" w:space="0" w:color="auto" w:frame="1"/>
                <w:lang w:eastAsia="vi-VN"/>
              </w:rPr>
              <w:t>Bước 1:</w:t>
            </w:r>
            <w:r w:rsidRPr="00307B47">
              <w:rPr>
                <w:rFonts w:ascii="Arial" w:eastAsia="Times New Roman" w:hAnsi="Arial" w:cs="Arial"/>
                <w:color w:val="333333"/>
                <w:sz w:val="18"/>
                <w:szCs w:val="18"/>
                <w:lang w:eastAsia="vi-VN"/>
              </w:rPr>
              <w:t> </w:t>
            </w:r>
            <w:r w:rsidRPr="00307B47">
              <w:rPr>
                <w:rFonts w:ascii="Arial" w:eastAsia="Times New Roman" w:hAnsi="Arial" w:cs="Arial"/>
                <w:b/>
                <w:bCs/>
                <w:color w:val="333333"/>
                <w:sz w:val="18"/>
                <w:szCs w:val="18"/>
                <w:bdr w:val="none" w:sz="0" w:space="0" w:color="auto" w:frame="1"/>
                <w:lang w:eastAsia="vi-VN"/>
              </w:rPr>
              <w:t>Đối với người tham gia bảo hiểm y tế</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1. Người tham gia BHYT khi đến KCB phải xuất trình thẻ BHYT có ảnh; trường hợp thẻ BHYT chưa có ảnh thì phải xuất trình thẻ BHYT cùng với giấy tờ chứng minh về nhân thân của người đó; đối với trẻ em dưới 6 tuổi chỉ phải xuất trình thẻ BHYT.</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2. Trường hợp cấp cứu, người tham gia BHYT được KCB tại bất kỳ cơ sở KCB nào và phải xuất trình thẻ BHYT cùng với giấy tờ quy định tại khoản 1 Bước 1 trước khi ra viện.</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3. Trường hợp chuyển tuyến điều trị, người tham gia BHYT phải có hồ sơ chuyển viện của cơ sở KCB.</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4. Trường hợp khám lại theo yêu cầu điều trị, người tham gia BHYT phải có giấy hẹn khám lại của cơ sở KCB.</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5. Trường hợp vượt quá khả năng chuyên môn kỹ thuật thì cơ sở KCB BHYT có trách nhiệm chuyển người bệnh kịp thời đến cơ sở KCB BHYT khác theo quy định về chuyển tuyến chuyên môn kỹ thuật.</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6. Một số trường hợp cụ thể đối với người tham gia BHYT:</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(1) Người tham gia BHYT khi đến KCB phải xuất trình thẻ BHYT có ảnh; trường hợp thẻ BHYT chưa có ảnh thì phải xuất trình một trong các giấy tờ tùy thân có ảnh do cơ quan, tổ chức có thẩm quyền cấp hoặc Giấy xác nhận của Công an cấp xã hoặc giấy tờ khác có xác nhận của cơ sở giáo dục nơi quản lý học sinh, sinh viên; các giấy tờ chứng minh nhân thân hợp pháp khác.</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(2) Trẻ em dưới 6 tuổi đến KCB chỉ phải xuất trình thẻ BHYT. Trường hợp trẻ chưa được cấp thẻ BHYT thì phải xuất trình bản sao giấy chứng sinh hoặc bản sao giấy khai sinh; trường hợp phải điều trị ngay sau khi sinh mà chưa có giấy chứng sinh thì thủ trưởng cơ sở KCB và cha hoặc mẹ hoặc người giám hộ của trẻ ký xác nhận vào hồ sơ bệnh án để làm căn cứ thanh toán theo quy định tại khoản 1 Điều 27 Nghị định số 146/2018/NĐ-CP ngày 17/10/2018 và chịu trách nhiệm về việc xác nhận này.  </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(3) Người tham gia BHYT trong thời gian chờ cấp lại thẻ, đổi thẻ BHYT khi đến KCB phải xuất trình giấy hẹn cấp lại thẻ, đổi thẻ BHYT do cơ quan BHXH hoặc tổ chức, cá nhân được cơ quan BHXH ủy quyền tiếp nhận hồ sơ cấp lại thẻ, đổi thẻ cấp theo Mẫu số 4 Phụ lục ban hành kèm theo Nghị định số 146/2018/NĐ-CP ngày 17/10/2018 và một loại giấy tờ chứng minh về nhân thân của người đó.</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(4) Người đã hiến bộ phận cơ thể đến khám bệnh, chữa bệnh phải xuất trình các giấy tờ quy định tại điểm (1) hoặc điểm (3) nêu trên. Trường hợp phải điều trị ngay sau khi hiến thì thủ trưởng cơ sở KCB nơi lấy bộ phận cơ thể và người bệnh hoặc thân nhân của người bệnh ký xác nhận vào hồ sơ bệnh án để làm căn cứ thanh toán theo quy định tại khoản 2 Điều 27 Nghị định số 146/2018/NĐ-CP ngày 17/10/2018 và chịu trách nhiệm về việc xác nhận này.</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xml:space="preserve">(5) Trường hợp chuyển tuyến KCB, người tham gia BHYT phải xuất trình hồ sơ chuyển tuyến của cơ sở KCB và giấy chuyển </w:t>
            </w:r>
            <w:r w:rsidRPr="00307B47">
              <w:rPr>
                <w:rFonts w:ascii="Arial" w:eastAsia="Times New Roman" w:hAnsi="Arial" w:cs="Arial"/>
                <w:color w:val="333333"/>
                <w:sz w:val="18"/>
                <w:szCs w:val="18"/>
                <w:lang w:eastAsia="vi-VN"/>
              </w:rPr>
              <w:lastRenderedPageBreak/>
              <w:t>tuyến theo Mẫu số 6 Phụ lục ban hành kèm theo Nghị định số 146/2018/NĐ-CP ngày 17/10/2018. Trường hợp giấy chuyển tuyến có giá trị sử dụng đến hết ngày 31 tháng 12 năm dương lịch nhưng đợt điều trị chưa kết thúc thì được sử dụng giấy chuyển tuyến đó đến hết đợt điều trị.  </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Trường hợp khám lại theo yêu cầu điều trị, người tham gia BHYT phải có giấy hẹn khám lại của cơ sở KCB theo Mẫu số 5 Phụ lục ban hành kèm theo Nghị định số 146/2018/NĐ-CP ngày 17/10/2018.</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(6) Trường hợp cấp cứu, người tham gia BHYT được đến KCB tại bất kỳ cơ sở KCB nào và phải xuất trình các giấy tờ quy định tại khoản 1 hoặc khoản 2 hoặc khoản 3 Điều 15 Nghị định số 146/2018/NĐ-CP ngày 17/10/2018  trước khi ra viện. Khi hết giai đoạn cấp cứu, người bệnh được cơ sở KCB làm thủ tục chuyển đến khoa, phòng điều trị khác tại cơ sở KCB đó để tiếp tục theo dõi, điều trị hoặc chuyển tuyến đến cơ sở KCB khác thì được xác định là đúng tuyến KCB.      </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(7) Người tham gia BHYT trong thời gian đi công tác, làm việc lưu động, học tập trung theo các hình thức đào tạo, chương trình đào tạo, tạm trú được KCB ban đầu tại cơ sở KCB cùng tuyến chuyên môn kỹ thuật hoặc tương đương với cơ sở đăng ký KCB ban đầu ghi trên thẻ BHYT và phải xuất trình các giấy tờ quy định tại khoản 1 hoặc khoản 2 hoặc khoản 3 Điều 15 Nghị định số 146/2018/NĐ-CP ngày 17/10/2018 và một trong các giấy tờ sau đây (bản chính hoặc bản sao): giấy công tác, quyết định cử đi học, thẻ học sinh, sinh viên, giấy tờ chứng minh đăng ký tạm trú, giấy chuyển trường. </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b/>
                <w:bCs/>
                <w:i/>
                <w:iCs/>
                <w:color w:val="333333"/>
                <w:sz w:val="18"/>
                <w:szCs w:val="18"/>
                <w:bdr w:val="none" w:sz="0" w:space="0" w:color="auto" w:frame="1"/>
                <w:lang w:eastAsia="vi-VN"/>
              </w:rPr>
              <w:t>Bước 2:</w:t>
            </w:r>
            <w:r w:rsidRPr="00307B47">
              <w:rPr>
                <w:rFonts w:ascii="Arial" w:eastAsia="Times New Roman" w:hAnsi="Arial" w:cs="Arial"/>
                <w:color w:val="333333"/>
                <w:sz w:val="18"/>
                <w:szCs w:val="18"/>
                <w:lang w:eastAsia="vi-VN"/>
              </w:rPr>
              <w:t>  </w:t>
            </w:r>
            <w:r w:rsidRPr="00307B47">
              <w:rPr>
                <w:rFonts w:ascii="Arial" w:eastAsia="Times New Roman" w:hAnsi="Arial" w:cs="Arial"/>
                <w:b/>
                <w:bCs/>
                <w:color w:val="333333"/>
                <w:sz w:val="18"/>
                <w:szCs w:val="18"/>
                <w:bdr w:val="none" w:sz="0" w:space="0" w:color="auto" w:frame="1"/>
                <w:lang w:eastAsia="vi-VN"/>
              </w:rPr>
              <w:t>Đối với cơ sở KCB</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Tổ chức KCB bảo đảm chất lượng với thủ tục đơn giản, thuận tiện cho người tham gia BHYT.</w:t>
            </w:r>
          </w:p>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 Tiếp nhận người bệnh có thẻ BHYT vào cơ sở KCB để chẩn đoán và điều trị.</w:t>
            </w: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lastRenderedPageBreak/>
              <w:t>Cách thức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Trực tiếp tại nơi khám, chữa bệnh</w:t>
            </w:r>
          </w:p>
        </w:tc>
      </w:tr>
      <w:tr w:rsidR="00307B47" w:rsidRPr="00307B47" w:rsidTr="00307B47">
        <w:trPr>
          <w:gridAfter w:val="2"/>
          <w:wAfter w:w="284"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Thành phần hồ sơ</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1927"/>
              <w:gridCol w:w="2125"/>
              <w:gridCol w:w="2191"/>
              <w:gridCol w:w="2082"/>
            </w:tblGrid>
            <w:tr w:rsidR="00307B47" w:rsidRPr="00307B47">
              <w:tc>
                <w:tcPr>
                  <w:tcW w:w="34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STT</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Loại giấy tờ</w:t>
                  </w:r>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Mẫu đơn, tờ khai</w:t>
                  </w:r>
                </w:p>
              </w:tc>
              <w:tc>
                <w:tcPr>
                  <w:tcW w:w="102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Số lượng</w:t>
                  </w: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Thẻ BHYT và giấy tờ chứng minh về nhân thân của người đó; đối với trẻ em dưới 6 tuổi chỉ phải xuất trình thẻ BHYT.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Bản sao giấy chứng sinh hoặc bản sao giấy khai sinh đối với trẻ em dưới 6 tuổi.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xml:space="preserve">- Mẫu số 4. Giấy tiếp </w:t>
                  </w:r>
                  <w:r w:rsidRPr="00307B47">
                    <w:rPr>
                      <w:rFonts w:ascii="Arial" w:eastAsia="Times New Roman" w:hAnsi="Arial" w:cs="Arial"/>
                      <w:sz w:val="18"/>
                      <w:szCs w:val="18"/>
                      <w:lang w:eastAsia="vi-VN"/>
                    </w:rPr>
                    <w:lastRenderedPageBreak/>
                    <w:t>nhận hồ sơ và hẹn trả kết quả cấp, cấp lại và đổi thẻ BHYT.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numPr>
                      <w:ilvl w:val="0"/>
                      <w:numId w:val="1"/>
                    </w:numPr>
                    <w:spacing w:after="0" w:line="240" w:lineRule="atLeast"/>
                    <w:ind w:left="0"/>
                    <w:textAlignment w:val="baseline"/>
                    <w:rPr>
                      <w:rFonts w:ascii="Arial" w:eastAsia="Times New Roman" w:hAnsi="Arial" w:cs="Arial"/>
                      <w:sz w:val="18"/>
                      <w:szCs w:val="18"/>
                      <w:lang w:eastAsia="vi-VN"/>
                    </w:rPr>
                  </w:pPr>
                  <w:hyperlink r:id="rId6" w:history="1">
                    <w:r w:rsidRPr="00307B47">
                      <w:rPr>
                        <w:rFonts w:ascii="Arial" w:eastAsia="Times New Roman" w:hAnsi="Arial" w:cs="Arial"/>
                        <w:color w:val="19467F"/>
                        <w:sz w:val="18"/>
                        <w:szCs w:val="18"/>
                        <w:bdr w:val="none" w:sz="0" w:space="0" w:color="auto" w:frame="1"/>
                        <w:lang w:eastAsia="vi-VN"/>
                      </w:rPr>
                      <w:t>phụ lục.docx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lastRenderedPageBreak/>
                    <w:t>4</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Mẫu số 5. Giấy hẹn khám lại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numPr>
                      <w:ilvl w:val="0"/>
                      <w:numId w:val="2"/>
                    </w:numPr>
                    <w:spacing w:after="0" w:line="240" w:lineRule="atLeast"/>
                    <w:ind w:left="0"/>
                    <w:textAlignment w:val="baseline"/>
                    <w:rPr>
                      <w:rFonts w:ascii="Arial" w:eastAsia="Times New Roman" w:hAnsi="Arial" w:cs="Arial"/>
                      <w:sz w:val="18"/>
                      <w:szCs w:val="18"/>
                      <w:lang w:eastAsia="vi-VN"/>
                    </w:rPr>
                  </w:pPr>
                  <w:hyperlink r:id="rId7" w:history="1">
                    <w:r w:rsidRPr="00307B47">
                      <w:rPr>
                        <w:rFonts w:ascii="Arial" w:eastAsia="Times New Roman" w:hAnsi="Arial" w:cs="Arial"/>
                        <w:color w:val="19467F"/>
                        <w:sz w:val="18"/>
                        <w:szCs w:val="18"/>
                        <w:bdr w:val="none" w:sz="0" w:space="0" w:color="auto" w:frame="1"/>
                        <w:lang w:eastAsia="vi-VN"/>
                      </w:rPr>
                      <w:t>phụ lục.docx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5</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Mẫu số 6. Giấy chuyển tuyến KCB BHYT.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numPr>
                      <w:ilvl w:val="0"/>
                      <w:numId w:val="3"/>
                    </w:numPr>
                    <w:spacing w:after="0" w:line="240" w:lineRule="atLeast"/>
                    <w:ind w:left="0"/>
                    <w:textAlignment w:val="baseline"/>
                    <w:rPr>
                      <w:rFonts w:ascii="Arial" w:eastAsia="Times New Roman" w:hAnsi="Arial" w:cs="Arial"/>
                      <w:sz w:val="18"/>
                      <w:szCs w:val="18"/>
                      <w:lang w:eastAsia="vi-VN"/>
                    </w:rPr>
                  </w:pPr>
                  <w:hyperlink r:id="rId8" w:history="1">
                    <w:r w:rsidRPr="00307B47">
                      <w:rPr>
                        <w:rFonts w:ascii="Arial" w:eastAsia="Times New Roman" w:hAnsi="Arial" w:cs="Arial"/>
                        <w:color w:val="19467F"/>
                        <w:sz w:val="18"/>
                        <w:szCs w:val="18"/>
                        <w:bdr w:val="none" w:sz="0" w:space="0" w:color="auto" w:frame="1"/>
                        <w:lang w:eastAsia="vi-VN"/>
                      </w:rPr>
                      <w:t>phụ lục.docx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r w:rsidR="00307B47" w:rsidRPr="00307B4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6</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r w:rsidRPr="00307B47">
                    <w:rPr>
                      <w:rFonts w:ascii="Arial" w:eastAsia="Times New Roman" w:hAnsi="Arial" w:cs="Arial"/>
                      <w:sz w:val="18"/>
                      <w:szCs w:val="18"/>
                      <w:lang w:eastAsia="vi-VN"/>
                    </w:rPr>
                    <w:t>- Hồ sơ chuyển tuyến của cơ sở KCB BHYT.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numPr>
                      <w:ilvl w:val="0"/>
                      <w:numId w:val="4"/>
                    </w:numPr>
                    <w:spacing w:after="0" w:line="240" w:lineRule="atLeast"/>
                    <w:ind w:left="0"/>
                    <w:textAlignment w:val="baseline"/>
                    <w:rPr>
                      <w:rFonts w:ascii="Arial" w:eastAsia="Times New Roman" w:hAnsi="Arial" w:cs="Arial"/>
                      <w:sz w:val="18"/>
                      <w:szCs w:val="18"/>
                      <w:lang w:eastAsia="vi-VN"/>
                    </w:rPr>
                  </w:pPr>
                  <w:hyperlink r:id="rId9" w:history="1">
                    <w:r w:rsidRPr="00307B47">
                      <w:rPr>
                        <w:rFonts w:ascii="Arial" w:eastAsia="Times New Roman" w:hAnsi="Arial" w:cs="Arial"/>
                        <w:color w:val="19467F"/>
                        <w:sz w:val="18"/>
                        <w:szCs w:val="18"/>
                        <w:bdr w:val="none" w:sz="0" w:space="0" w:color="auto" w:frame="1"/>
                        <w:lang w:eastAsia="vi-VN"/>
                      </w:rPr>
                      <w:t>phụ lục.docx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sz w:val="18"/>
                      <w:szCs w:val="18"/>
                      <w:lang w:eastAsia="vi-VN"/>
                    </w:rPr>
                  </w:pPr>
                </w:p>
              </w:tc>
            </w:tr>
          </w:tbl>
          <w:p w:rsidR="00307B47" w:rsidRPr="00307B47" w:rsidRDefault="00307B47" w:rsidP="00307B47">
            <w:pPr>
              <w:spacing w:after="0" w:line="240" w:lineRule="atLeast"/>
              <w:rPr>
                <w:rFonts w:ascii="Arial" w:eastAsia="Times New Roman" w:hAnsi="Arial" w:cs="Arial"/>
                <w:color w:val="333333"/>
                <w:sz w:val="18"/>
                <w:szCs w:val="18"/>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lastRenderedPageBreak/>
              <w:t>Số bộ hồ sơ</w:t>
            </w:r>
          </w:p>
        </w:tc>
        <w:tc>
          <w:tcPr>
            <w:tcW w:w="10572"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01 bộ</w:t>
            </w: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Phí</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Lệ phí</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Mức giá</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Thời hạn giải quyết</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Tùy thuộc vào mức độ bệnh tật của từng người bệnh có thẻ BHYT.</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Đối tượng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Cá nhân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Cơ quan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Các cơ sở khám chữa bệnh Trung ương và địa phương</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Cơ quan có thẩm quyền quyết định</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Địa chỉ tiếp nhận hồ sơ</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Cơ quan được ủy quyền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Cơ quan phối hợp</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lastRenderedPageBreak/>
              <w:t>Kết quả thực hiện</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Người bệnh có thẻ BHYT được tiếp nhận và cơ cở KCB.</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Căn cứ pháp lý của TTHC</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numPr>
                <w:ilvl w:val="0"/>
                <w:numId w:val="5"/>
              </w:numPr>
              <w:spacing w:after="0" w:line="270" w:lineRule="atLeast"/>
              <w:ind w:left="0"/>
              <w:textAlignment w:val="baseline"/>
              <w:rPr>
                <w:rFonts w:ascii="Arial" w:eastAsia="Times New Roman" w:hAnsi="Arial" w:cs="Arial"/>
                <w:color w:val="333333"/>
                <w:sz w:val="18"/>
                <w:szCs w:val="18"/>
                <w:lang w:eastAsia="vi-VN"/>
              </w:rPr>
            </w:pPr>
            <w:hyperlink r:id="rId10" w:tgtFrame="_blank" w:tooltip="Luật 25/2008/QH12" w:history="1">
              <w:r w:rsidRPr="00307B47">
                <w:rPr>
                  <w:rFonts w:ascii="Arial" w:eastAsia="Times New Roman" w:hAnsi="Arial" w:cs="Arial"/>
                  <w:color w:val="19467F"/>
                  <w:sz w:val="18"/>
                  <w:szCs w:val="18"/>
                  <w:u w:val="single"/>
                  <w:bdr w:val="none" w:sz="0" w:space="0" w:color="auto" w:frame="1"/>
                  <w:lang w:eastAsia="vi-VN"/>
                </w:rPr>
                <w:t>Luật 25/2008/QH12</w:t>
              </w:r>
            </w:hyperlink>
          </w:p>
          <w:p w:rsidR="00307B47" w:rsidRPr="00307B47" w:rsidRDefault="00307B47" w:rsidP="00307B47">
            <w:pPr>
              <w:numPr>
                <w:ilvl w:val="0"/>
                <w:numId w:val="5"/>
              </w:numPr>
              <w:spacing w:after="0" w:line="270" w:lineRule="atLeast"/>
              <w:ind w:left="0"/>
              <w:textAlignment w:val="baseline"/>
              <w:rPr>
                <w:rFonts w:ascii="Arial" w:eastAsia="Times New Roman" w:hAnsi="Arial" w:cs="Arial"/>
                <w:color w:val="333333"/>
                <w:sz w:val="18"/>
                <w:szCs w:val="18"/>
                <w:lang w:eastAsia="vi-VN"/>
              </w:rPr>
            </w:pPr>
            <w:hyperlink r:id="rId11" w:tgtFrame="_blank" w:tooltip="Luật 40/2009/QH12" w:history="1">
              <w:r w:rsidRPr="00307B47">
                <w:rPr>
                  <w:rFonts w:ascii="Arial" w:eastAsia="Times New Roman" w:hAnsi="Arial" w:cs="Arial"/>
                  <w:color w:val="19467F"/>
                  <w:sz w:val="18"/>
                  <w:szCs w:val="18"/>
                  <w:u w:val="single"/>
                  <w:bdr w:val="none" w:sz="0" w:space="0" w:color="auto" w:frame="1"/>
                  <w:lang w:eastAsia="vi-VN"/>
                </w:rPr>
                <w:t>Luật 40/2009/QH12</w:t>
              </w:r>
            </w:hyperlink>
          </w:p>
          <w:p w:rsidR="00307B47" w:rsidRPr="00307B47" w:rsidRDefault="00307B47" w:rsidP="00307B47">
            <w:pPr>
              <w:numPr>
                <w:ilvl w:val="0"/>
                <w:numId w:val="5"/>
              </w:numPr>
              <w:spacing w:after="0" w:line="270" w:lineRule="atLeast"/>
              <w:ind w:left="0"/>
              <w:textAlignment w:val="baseline"/>
              <w:rPr>
                <w:rFonts w:ascii="Arial" w:eastAsia="Times New Roman" w:hAnsi="Arial" w:cs="Arial"/>
                <w:color w:val="333333"/>
                <w:sz w:val="18"/>
                <w:szCs w:val="18"/>
                <w:lang w:eastAsia="vi-VN"/>
              </w:rPr>
            </w:pPr>
            <w:hyperlink r:id="rId12" w:tgtFrame="_blank" w:tooltip="Luật 46/2014/QH13" w:history="1">
              <w:r w:rsidRPr="00307B47">
                <w:rPr>
                  <w:rFonts w:ascii="Arial" w:eastAsia="Times New Roman" w:hAnsi="Arial" w:cs="Arial"/>
                  <w:color w:val="19467F"/>
                  <w:sz w:val="18"/>
                  <w:szCs w:val="18"/>
                  <w:u w:val="single"/>
                  <w:bdr w:val="none" w:sz="0" w:space="0" w:color="auto" w:frame="1"/>
                  <w:lang w:eastAsia="vi-VN"/>
                </w:rPr>
                <w:t>Luật 46/2014/QH13</w:t>
              </w:r>
            </w:hyperlink>
          </w:p>
          <w:p w:rsidR="00307B47" w:rsidRPr="00307B47" w:rsidRDefault="00307B47" w:rsidP="00307B47">
            <w:pPr>
              <w:numPr>
                <w:ilvl w:val="0"/>
                <w:numId w:val="5"/>
              </w:numPr>
              <w:spacing w:after="0" w:line="270" w:lineRule="atLeast"/>
              <w:ind w:left="0"/>
              <w:textAlignment w:val="baseline"/>
              <w:rPr>
                <w:rFonts w:ascii="Arial" w:eastAsia="Times New Roman" w:hAnsi="Arial" w:cs="Arial"/>
                <w:color w:val="333333"/>
                <w:sz w:val="18"/>
                <w:szCs w:val="18"/>
                <w:lang w:eastAsia="vi-VN"/>
              </w:rPr>
            </w:pPr>
            <w:hyperlink r:id="rId13" w:tgtFrame="_blank" w:tooltip="Nghị định 146/2018/NĐ-CP" w:history="1">
              <w:r w:rsidRPr="00307B47">
                <w:rPr>
                  <w:rFonts w:ascii="Arial" w:eastAsia="Times New Roman" w:hAnsi="Arial" w:cs="Arial"/>
                  <w:color w:val="19467F"/>
                  <w:sz w:val="18"/>
                  <w:szCs w:val="18"/>
                  <w:u w:val="single"/>
                  <w:bdr w:val="none" w:sz="0" w:space="0" w:color="auto" w:frame="1"/>
                  <w:lang w:eastAsia="vi-VN"/>
                </w:rPr>
                <w:t>Nghị định 146/2018/NĐ-CP</w:t>
              </w:r>
            </w:hyperlink>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r w:rsidR="00307B47" w:rsidRPr="00307B47" w:rsidTr="00307B4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07B47" w:rsidRPr="00307B47" w:rsidRDefault="00307B47" w:rsidP="00307B47">
            <w:pPr>
              <w:spacing w:after="0" w:line="240" w:lineRule="atLeast"/>
              <w:rPr>
                <w:rFonts w:ascii="Arial" w:eastAsia="Times New Roman" w:hAnsi="Arial" w:cs="Arial"/>
                <w:b/>
                <w:bCs/>
                <w:color w:val="333333"/>
                <w:sz w:val="18"/>
                <w:szCs w:val="18"/>
                <w:lang w:eastAsia="vi-VN"/>
              </w:rPr>
            </w:pPr>
            <w:r w:rsidRPr="00307B47">
              <w:rPr>
                <w:rFonts w:ascii="Arial" w:eastAsia="Times New Roman" w:hAnsi="Arial" w:cs="Arial"/>
                <w:b/>
                <w:bCs/>
                <w:color w:val="333333"/>
                <w:sz w:val="18"/>
                <w:szCs w:val="18"/>
                <w:lang w:eastAsia="vi-VN"/>
              </w:rPr>
              <w:t>Yêu cầu hoặc điều kiện để thực hiện TTHC</w:t>
            </w:r>
          </w:p>
        </w:tc>
        <w:tc>
          <w:tcPr>
            <w:tcW w:w="102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b/>
                <w:bCs/>
                <w:color w:val="333333"/>
                <w:sz w:val="18"/>
                <w:szCs w:val="18"/>
                <w:bdr w:val="none" w:sz="0" w:space="0" w:color="auto" w:frame="1"/>
                <w:lang w:eastAsia="vi-VN"/>
              </w:rPr>
              <w:t>Yêu cầu đối với người bệnh có thẻ BHYT</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Hồ sơ bệnh án đối với người bệnh có thẻ BHYT.</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b/>
                <w:bCs/>
                <w:color w:val="333333"/>
                <w:sz w:val="18"/>
                <w:szCs w:val="18"/>
                <w:bdr w:val="none" w:sz="0" w:space="0" w:color="auto" w:frame="1"/>
                <w:lang w:eastAsia="vi-VN"/>
              </w:rPr>
              <w:t>Yêu cầu đối với cơ sở KCB và giám định viên BHYT của cơ quan BHXH</w:t>
            </w:r>
          </w:p>
          <w:p w:rsidR="00307B47" w:rsidRPr="00307B47" w:rsidRDefault="00307B47" w:rsidP="00307B47">
            <w:pPr>
              <w:spacing w:after="0" w:line="240" w:lineRule="atLeast"/>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 Đối với cơ sở KCB, cơ quan BHXH không được quy định thêm thủ tục KCB BHYT ngoài các thủ tục quy định tại Điểm 6 nêu trên. Trường hợp cơ sở KCB, cơ quan BHXH cần sao chụp thẻ BHYT, các giấy tờ liên quan đến KCB của người bệnh để phục vụ cho công tác quản lý thì phải tự sao chụp, không được yêu cầu người bệnh sao chụp hoặc chi trả cho khoản chi phí này.</w:t>
            </w:r>
          </w:p>
          <w:p w:rsidR="00307B47" w:rsidRPr="00307B47" w:rsidRDefault="00307B47" w:rsidP="00307B47">
            <w:pPr>
              <w:spacing w:after="0" w:line="240" w:lineRule="atLeast"/>
              <w:ind w:right="142"/>
              <w:textAlignment w:val="baseline"/>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Kiểm tra đúng quy định tại Điều 27, 28 Luật BHYT, Điều 15 Nghị định số 146/2018/NĐ-CP ngày 17/10/2018 và tiếp nhận người bệnh có thẻ BHYT vào cơ sở KCB để chẩn đoán và điều trị.</w:t>
            </w:r>
          </w:p>
          <w:p w:rsidR="00307B47" w:rsidRPr="00307B47" w:rsidRDefault="00307B47" w:rsidP="00307B47">
            <w:pPr>
              <w:spacing w:after="0" w:line="240" w:lineRule="atLeast"/>
              <w:rPr>
                <w:rFonts w:ascii="Arial" w:eastAsia="Times New Roman" w:hAnsi="Arial" w:cs="Arial"/>
                <w:color w:val="333333"/>
                <w:sz w:val="18"/>
                <w:szCs w:val="18"/>
                <w:lang w:eastAsia="vi-VN"/>
              </w:rPr>
            </w:pPr>
            <w:r w:rsidRPr="00307B47">
              <w:rPr>
                <w:rFonts w:ascii="Arial" w:eastAsia="Times New Roman" w:hAnsi="Arial" w:cs="Arial"/>
                <w:color w:val="333333"/>
                <w:sz w:val="18"/>
                <w:szCs w:val="18"/>
                <w:lang w:eastAsia="vi-VN"/>
              </w:rPr>
              <w:t> - Tổ chức việc cấp cứu, KCB kịp thời cho người bệnh; Thực hiện quy định về chuyên môn kỹ thuật và các quy định khác của pháp luật có liên quan theo quy định tại Khoản 1, Khoản 2 Điều 53 Luật KCB.</w:t>
            </w: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307B47" w:rsidRPr="00307B47" w:rsidRDefault="00307B47" w:rsidP="00307B47">
            <w:pPr>
              <w:spacing w:after="0" w:line="240" w:lineRule="auto"/>
              <w:rPr>
                <w:rFonts w:ascii="Times New Roman" w:eastAsia="Times New Roman" w:hAnsi="Times New Roman" w:cs="Times New Roman"/>
                <w:sz w:val="20"/>
                <w:szCs w:val="20"/>
                <w:lang w:eastAsia="vi-VN"/>
              </w:rPr>
            </w:pPr>
          </w:p>
        </w:tc>
      </w:tr>
    </w:tbl>
    <w:p w:rsidR="00D16CED" w:rsidRDefault="00D16CED"/>
    <w:sectPr w:rsidR="00D16CED" w:rsidSect="00307B4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651"/>
    <w:multiLevelType w:val="multilevel"/>
    <w:tmpl w:val="F892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B28E2"/>
    <w:multiLevelType w:val="multilevel"/>
    <w:tmpl w:val="2CF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47029"/>
    <w:multiLevelType w:val="multilevel"/>
    <w:tmpl w:val="5F0E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812D0"/>
    <w:multiLevelType w:val="multilevel"/>
    <w:tmpl w:val="E2C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31C1D"/>
    <w:multiLevelType w:val="multilevel"/>
    <w:tmpl w:val="6E8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50"/>
    <w:rsid w:val="00307B47"/>
    <w:rsid w:val="00706B50"/>
    <w:rsid w:val="00C638B5"/>
    <w:rsid w:val="00D16C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3665">
      <w:bodyDiv w:val="1"/>
      <w:marLeft w:val="0"/>
      <w:marRight w:val="0"/>
      <w:marTop w:val="0"/>
      <w:marBottom w:val="0"/>
      <w:divBdr>
        <w:top w:val="none" w:sz="0" w:space="0" w:color="auto"/>
        <w:left w:val="none" w:sz="0" w:space="0" w:color="auto"/>
        <w:bottom w:val="none" w:sz="0" w:space="0" w:color="auto"/>
        <w:right w:val="none" w:sz="0" w:space="0" w:color="auto"/>
      </w:divBdr>
      <w:divsChild>
        <w:div w:id="125982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Lists/ThanhPhanHoSo/Attachments/228740/ph%E1%BB%A5%20l%E1%BB%A5c.docx" TargetMode="External"/><Relationship Id="rId13" Type="http://schemas.openxmlformats.org/officeDocument/2006/relationships/hyperlink" Target="http://vbpl.vn/TW/Pages/vbpq-thuoctinh.aspx?ItemID=132188" TargetMode="External"/><Relationship Id="rId3" Type="http://schemas.microsoft.com/office/2007/relationships/stylesWithEffects" Target="stylesWithEffects.xml"/><Relationship Id="rId7" Type="http://schemas.openxmlformats.org/officeDocument/2006/relationships/hyperlink" Target="http://csdl.thutuchanhchinh.vn/TW/Lists/ThanhPhanHoSo/Attachments/228739/ph%E1%BB%A5%20l%E1%BB%A5c.docx" TargetMode="External"/><Relationship Id="rId12" Type="http://schemas.openxmlformats.org/officeDocument/2006/relationships/hyperlink" Target="http://vbpl.vn/TW/Pages/vbpq-thuoctinh.aspx?ItemID=36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Lists/ThanhPhanHoSo/Attachments/228738/ph%E1%BB%A5%20l%E1%BB%A5c.docx" TargetMode="External"/><Relationship Id="rId11" Type="http://schemas.openxmlformats.org/officeDocument/2006/relationships/hyperlink" Target="http://vbpl.vn/TW/Pages/vbpq-thuoctinh.aspx?ItemID=807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pl.vn/TW/Pages/vbpq-thuoctinh.aspx?ItemID=80764" TargetMode="External"/><Relationship Id="rId4" Type="http://schemas.openxmlformats.org/officeDocument/2006/relationships/settings" Target="settings.xml"/><Relationship Id="rId9" Type="http://schemas.openxmlformats.org/officeDocument/2006/relationships/hyperlink" Target="http://csdl.thutuchanhchinh.vn/TW/Lists/ThanhPhanHoSo/Attachments/228741/ph%E1%BB%A5%20l%E1%BB%A5c.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2</cp:revision>
  <dcterms:created xsi:type="dcterms:W3CDTF">2019-11-06T04:11:00Z</dcterms:created>
  <dcterms:modified xsi:type="dcterms:W3CDTF">2019-11-06T04:11:00Z</dcterms:modified>
</cp:coreProperties>
</file>