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35" w:type="dxa"/>
        <w:shd w:val="clear" w:color="auto" w:fill="FFFFFF"/>
        <w:tblCellMar>
          <w:left w:w="0" w:type="dxa"/>
          <w:right w:w="0" w:type="dxa"/>
        </w:tblCellMar>
        <w:tblLook w:val="04A0" w:firstRow="1" w:lastRow="0" w:firstColumn="1" w:lastColumn="0" w:noHBand="0" w:noVBand="1"/>
      </w:tblPr>
      <w:tblGrid>
        <w:gridCol w:w="3000"/>
        <w:gridCol w:w="8551"/>
        <w:gridCol w:w="199"/>
        <w:gridCol w:w="85"/>
      </w:tblGrid>
      <w:tr w:rsidR="002A7FA7" w:rsidRPr="002A7FA7" w:rsidTr="002A7FA7">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Cơ quan Công bố/Công khai</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Thanh tra Chính phủ</w:t>
            </w:r>
          </w:p>
        </w:tc>
      </w:tr>
      <w:tr w:rsidR="002A7FA7" w:rsidRPr="002A7FA7" w:rsidTr="002A7FA7">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Mã thủ tục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TTR-000014</w:t>
            </w:r>
          </w:p>
        </w:tc>
      </w:tr>
      <w:tr w:rsidR="002A7FA7" w:rsidRPr="002A7FA7" w:rsidTr="002A7FA7">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Cấp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Cấp Huyện</w:t>
            </w:r>
          </w:p>
        </w:tc>
      </w:tr>
      <w:tr w:rsidR="002A7FA7" w:rsidRPr="002A7FA7" w:rsidTr="002A7FA7">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Loại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TTHC không được luật giao cho địa phương quy định hoặc quy định chi tiết</w:t>
            </w:r>
          </w:p>
        </w:tc>
      </w:tr>
      <w:tr w:rsidR="002A7FA7" w:rsidRPr="002A7FA7" w:rsidTr="002A7FA7">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Lĩnh vực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Tiếp công dân</w:t>
            </w:r>
          </w:p>
        </w:tc>
      </w:tr>
      <w:tr w:rsidR="002A7FA7" w:rsidRPr="002A7FA7" w:rsidTr="002A7FA7">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Trình tự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w:t>
            </w:r>
            <w:r w:rsidRPr="002A7FA7">
              <w:rPr>
                <w:rFonts w:ascii="Arial" w:eastAsia="Times New Roman" w:hAnsi="Arial" w:cs="Arial"/>
                <w:i/>
                <w:iCs/>
                <w:color w:val="333333"/>
                <w:sz w:val="18"/>
                <w:szCs w:val="18"/>
                <w:bdr w:val="none" w:sz="0" w:space="0" w:color="auto" w:frame="1"/>
                <w:lang w:eastAsia="vi-VN"/>
              </w:rPr>
              <w:t> Bước 1: Đón tiếp, xác định nhân thân của công dân</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Người tiếp công dân đón tiếp, yêu cầu công dân nêu rõ họ tên, địa chỉ hoặc xuất trình giấy tờ tuỳ thân; trường hợp được ủy quyền thì yêu cầu xuất trình giấy ủy quyền.</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i/>
                <w:iCs/>
                <w:color w:val="333333"/>
                <w:sz w:val="18"/>
                <w:szCs w:val="18"/>
                <w:bdr w:val="none" w:sz="0" w:space="0" w:color="auto" w:frame="1"/>
                <w:lang w:eastAsia="vi-VN"/>
              </w:rPr>
              <w:t>- Bước 2:</w:t>
            </w:r>
            <w:r w:rsidRPr="002A7FA7">
              <w:rPr>
                <w:rFonts w:ascii="Arial" w:eastAsia="Times New Roman" w:hAnsi="Arial" w:cs="Arial"/>
                <w:color w:val="333333"/>
                <w:sz w:val="18"/>
                <w:szCs w:val="18"/>
                <w:lang w:eastAsia="vi-VN"/>
              </w:rPr>
              <w:t> </w:t>
            </w:r>
            <w:r w:rsidRPr="002A7FA7">
              <w:rPr>
                <w:rFonts w:ascii="Arial" w:eastAsia="Times New Roman" w:hAnsi="Arial" w:cs="Arial"/>
                <w:i/>
                <w:iCs/>
                <w:color w:val="333333"/>
                <w:sz w:val="18"/>
                <w:szCs w:val="18"/>
                <w:bdr w:val="none" w:sz="0" w:space="0" w:color="auto" w:frame="1"/>
                <w:lang w:eastAsia="vi-VN"/>
              </w:rPr>
              <w:t>Nghe, ghi chép nội dung khiếu nại, tố cáo, kiến nghị, phản ánh, tiếp nhận thông tin, tài liệu</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Khi người khiếu nại, tố cáo, kiến nghị, phản ánh có đơn trình bày nội dung rõ ràng, đầy đủ thì người tiếp công dân cần xác định nội dung vụ việc, yêu cầu của công dân để xử lý cho phù hợp.</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Nếu nội dung đơn khiếu nại tố cáo, kiến nghị, phản ánh không rõ ràng, chưa đầy đủ thì người tiếp công dân đề nghị công dân viết lại đơn hoặc viết bổ sung vào đơn những nội dung chưa rõ, còn thiếu.</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 Trường hợp không có đơn khiếu nại, tố cáo, kiến nghị, phản ánh thì người tiếp công dân hướng dẫn công dân viết đơn theo quy định của pháp luật.</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Trường hợp nhiều người đến khiếu nại, tố cáo, kiến nghị, phản ánh về cùng một nội dung thì người tiếp công dân hướng dẫn họ cử người đại diện để trình bày nội dung khiếu nại, tố cáo, kiến nghị, phản ánh; người tiếp công dân ghi lại nội dung bằng văn bản.</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Trường hợp đơn có nhiều nội dung khác nhau thì người tiếp công dân hướng dẫn công dân tách riêng từng nội dung để gửi đến đúng cơ quan, tổ chức, đơn vị có thẩm quyền giải quyết.</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i/>
                <w:iCs/>
                <w:color w:val="333333"/>
                <w:sz w:val="18"/>
                <w:szCs w:val="18"/>
                <w:bdr w:val="none" w:sz="0" w:space="0" w:color="auto" w:frame="1"/>
                <w:lang w:eastAsia="vi-VN"/>
              </w:rPr>
              <w:t>Bước 3: Phân loại, xử lý khiếu nại, tố cáo, kiến nghị, phản ánh  tại nơi tiếp công dân</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 Việc phân loại, xử lý </w:t>
            </w:r>
            <w:r w:rsidRPr="002A7FA7">
              <w:rPr>
                <w:rFonts w:ascii="Arial" w:eastAsia="Times New Roman" w:hAnsi="Arial" w:cs="Arial"/>
                <w:i/>
                <w:iCs/>
                <w:color w:val="333333"/>
                <w:sz w:val="18"/>
                <w:szCs w:val="18"/>
                <w:bdr w:val="none" w:sz="0" w:space="0" w:color="auto" w:frame="1"/>
                <w:lang w:eastAsia="vi-VN"/>
              </w:rPr>
              <w:t>khiếu nại, tố cáo</w:t>
            </w:r>
            <w:r w:rsidRPr="002A7FA7">
              <w:rPr>
                <w:rFonts w:ascii="Arial" w:eastAsia="Times New Roman" w:hAnsi="Arial" w:cs="Arial"/>
                <w:color w:val="333333"/>
                <w:sz w:val="18"/>
                <w:szCs w:val="18"/>
                <w:lang w:eastAsia="vi-VN"/>
              </w:rPr>
              <w:t> đến cơ quan, tổ chức, đơn vị, người có thẩm quyền thụ lý, giải quyết trong quá trình tiếp công dân được thực hiện như sau:</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 xml:space="preserve">+ Trường hợp khiếu nại, tố cáo thuộc thẩm quyền giải quyết của cơ quan, tổ chức, đơn vị mình và đủ </w:t>
            </w:r>
            <w:r w:rsidRPr="002A7FA7">
              <w:rPr>
                <w:rFonts w:ascii="Arial" w:eastAsia="Times New Roman" w:hAnsi="Arial" w:cs="Arial"/>
                <w:color w:val="333333"/>
                <w:sz w:val="18"/>
                <w:szCs w:val="18"/>
                <w:lang w:eastAsia="vi-VN"/>
              </w:rPr>
              <w:lastRenderedPageBreak/>
              <w:t>điều kiện thụ lý thì người tiếp công dân tiếp nhận thông tin, tài liệu, chứng cứ kèm theo, đồng thời báo cáo với Thủ trưởng cơ quan, tổ chức, đơn vị thụ lý.</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 Trường hợp khiếu nại, tố cáo không thuộc thẩm quyền giải quyết của cơ quan, tổ chức, đơn vị mình thì hướng dẫn người khiếu nại, tố cáo đến cơ quan, tổ chức, đơn vị có thẩm quyền để khiếu nại, tố cáo.</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Nếu khiếu nại, tố cáo thuộc thẩm quyền giải quyết của cấp dưới mà chưa được giải quyết thì xử lý như sau:</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Trường hợp khiếu nại thuộc thẩm quyền của cấp dưới nhưng quá thời gian quy định mà chưa được giải quyết thì người tiếp công dân phải báo cáo với thủ trưởng cơ quan, tổ chức, đơn vị xem xét, quyết định.</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Trường hợp khiếu nại lần đầu đã hết thời hạn nhưng chưa được giải quyết thì người tiếp công dân báo cáo thủ trưởng cơ quan, tổ chức, đơn vị để xem xét, giải quyết theo quy định của Luật khiếu nại.</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Trường hợp tố cáo thuộc thẩm quyền giải quyết của cơ quan, tổ chức, đơn vị cấp dưới trực tiếp nhưng quá thời gian quy định mà chưa được giải quyết thì người tiếp công dân báo cáo thủ trưởng cơ quan, tổ chức, đơn vị để ra văn bản yêu cầu cấp dưới giải quyết.</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 Trường hợp nhận được đơn khiếu nại, tố cáo không do người khiếu nại, người tố cáo trực tiếp chuyển đến thì thực hiện việc phân loại và xử lý theo quy định của pháp luật về khiếu nại, tố cáo.</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 Việc phân loại, xử lý </w:t>
            </w:r>
            <w:r w:rsidRPr="002A7FA7">
              <w:rPr>
                <w:rFonts w:ascii="Arial" w:eastAsia="Times New Roman" w:hAnsi="Arial" w:cs="Arial"/>
                <w:i/>
                <w:iCs/>
                <w:color w:val="333333"/>
                <w:sz w:val="18"/>
                <w:szCs w:val="18"/>
                <w:bdr w:val="none" w:sz="0" w:space="0" w:color="auto" w:frame="1"/>
                <w:lang w:eastAsia="vi-VN"/>
              </w:rPr>
              <w:t>kiến nghị, phản ánh</w:t>
            </w:r>
            <w:r w:rsidRPr="002A7FA7">
              <w:rPr>
                <w:rFonts w:ascii="Arial" w:eastAsia="Times New Roman" w:hAnsi="Arial" w:cs="Arial"/>
                <w:color w:val="333333"/>
                <w:sz w:val="18"/>
                <w:szCs w:val="18"/>
                <w:lang w:eastAsia="vi-VN"/>
              </w:rPr>
              <w:t> đến cơ quan, tổ chức, đơn vị, người có thẩm quyền thụ lý, giải quyết trong quá trình tiếp công dân được thực hiện như sau:</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w:t>
            </w:r>
          </w:p>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tc>
      </w:tr>
      <w:tr w:rsidR="002A7FA7" w:rsidRPr="002A7FA7" w:rsidTr="002A7FA7">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lastRenderedPageBreak/>
              <w:t>Cách thức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Công dân đến trụ sở, địa điểm tiếp công dân</w:t>
            </w:r>
          </w:p>
        </w:tc>
      </w:tr>
      <w:tr w:rsidR="002A7FA7" w:rsidRPr="002A7FA7" w:rsidTr="002A7FA7">
        <w:trPr>
          <w:gridAfter w:val="2"/>
          <w:wAfter w:w="960" w:type="dxa"/>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Thành phần hồ sơ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1938"/>
              <w:gridCol w:w="2052"/>
              <w:gridCol w:w="2242"/>
              <w:gridCol w:w="2093"/>
            </w:tblGrid>
            <w:tr w:rsidR="002A7FA7" w:rsidRPr="002A7FA7">
              <w:tc>
                <w:tcPr>
                  <w:tcW w:w="34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STT</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Loại giấy tờ</w:t>
                  </w:r>
                </w:p>
              </w:tc>
              <w:tc>
                <w:tcPr>
                  <w:tcW w:w="226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Mẫu đơn, tờ khai</w:t>
                  </w:r>
                </w:p>
              </w:tc>
              <w:tc>
                <w:tcPr>
                  <w:tcW w:w="102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Số lượng</w:t>
                  </w:r>
                </w:p>
              </w:tc>
            </w:tr>
            <w:tr w:rsidR="002A7FA7" w:rsidRPr="002A7FA7">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sz w:val="18"/>
                      <w:szCs w:val="18"/>
                      <w:lang w:eastAsia="vi-VN"/>
                    </w:rPr>
                  </w:pPr>
                  <w:r w:rsidRPr="002A7FA7">
                    <w:rPr>
                      <w:rFonts w:ascii="Arial" w:eastAsia="Times New Roman" w:hAnsi="Arial" w:cs="Arial"/>
                      <w:sz w:val="18"/>
                      <w:szCs w:val="18"/>
                      <w:lang w:eastAsia="vi-VN"/>
                    </w:rPr>
                    <w:t>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sz w:val="18"/>
                      <w:szCs w:val="18"/>
                      <w:lang w:eastAsia="vi-VN"/>
                    </w:rPr>
                  </w:pPr>
                  <w:r w:rsidRPr="002A7FA7">
                    <w:rPr>
                      <w:rFonts w:ascii="Arial" w:eastAsia="Times New Roman" w:hAnsi="Arial" w:cs="Arial"/>
                      <w:sz w:val="18"/>
                      <w:szCs w:val="18"/>
                      <w:lang w:eastAsia="vi-VN"/>
                    </w:rPr>
                    <w:t xml:space="preserve">+ Đơn khiếu nại, đơn tố cáo, đơn kiến nghị, đơn phản ánh hoặc </w:t>
                  </w:r>
                  <w:r w:rsidRPr="002A7FA7">
                    <w:rPr>
                      <w:rFonts w:ascii="Arial" w:eastAsia="Times New Roman" w:hAnsi="Arial" w:cs="Arial"/>
                      <w:sz w:val="18"/>
                      <w:szCs w:val="18"/>
                      <w:lang w:eastAsia="vi-VN"/>
                    </w:rPr>
                    <w:lastRenderedPageBreak/>
                    <w:t>văn bản ghi lại nội dung khiếu nại, tố cáo, kiến nghị, phản ánh (có chữ ký hoặc điểm chỉ của công dân); + Các tài liệu, giấy tờ do người khiếu nại, tố cáo, kiến nghị, phản ánh cung cấp.</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numPr>
                      <w:ilvl w:val="0"/>
                      <w:numId w:val="1"/>
                    </w:numPr>
                    <w:spacing w:after="0" w:line="240" w:lineRule="atLeast"/>
                    <w:ind w:left="0"/>
                    <w:textAlignment w:val="baseline"/>
                    <w:rPr>
                      <w:rFonts w:ascii="Arial" w:eastAsia="Times New Roman" w:hAnsi="Arial" w:cs="Arial"/>
                      <w:sz w:val="18"/>
                      <w:szCs w:val="18"/>
                      <w:lang w:eastAsia="vi-VN"/>
                    </w:rPr>
                  </w:pPr>
                  <w:hyperlink r:id="rId6" w:history="1">
                    <w:r w:rsidRPr="002A7FA7">
                      <w:rPr>
                        <w:rFonts w:ascii="Arial" w:eastAsia="Times New Roman" w:hAnsi="Arial" w:cs="Arial"/>
                        <w:color w:val="19467F"/>
                        <w:sz w:val="18"/>
                        <w:szCs w:val="18"/>
                        <w:bdr w:val="none" w:sz="0" w:space="0" w:color="auto" w:frame="1"/>
                        <w:lang w:eastAsia="vi-VN"/>
                      </w:rPr>
                      <w:t>Mẫu Thông tư 02-2016.docx</w:t>
                    </w:r>
                  </w:hyperlink>
                </w:p>
                <w:p w:rsidR="002A7FA7" w:rsidRPr="002A7FA7" w:rsidRDefault="002A7FA7" w:rsidP="002A7FA7">
                  <w:pPr>
                    <w:numPr>
                      <w:ilvl w:val="0"/>
                      <w:numId w:val="1"/>
                    </w:numPr>
                    <w:spacing w:after="0" w:line="240" w:lineRule="atLeast"/>
                    <w:ind w:left="0"/>
                    <w:textAlignment w:val="baseline"/>
                    <w:rPr>
                      <w:rFonts w:ascii="Arial" w:eastAsia="Times New Roman" w:hAnsi="Arial" w:cs="Arial"/>
                      <w:sz w:val="18"/>
                      <w:szCs w:val="18"/>
                      <w:lang w:eastAsia="vi-VN"/>
                    </w:rPr>
                  </w:pPr>
                  <w:hyperlink r:id="rId7" w:history="1">
                    <w:r w:rsidRPr="002A7FA7">
                      <w:rPr>
                        <w:rFonts w:ascii="Arial" w:eastAsia="Times New Roman" w:hAnsi="Arial" w:cs="Arial"/>
                        <w:color w:val="19467F"/>
                        <w:sz w:val="18"/>
                        <w:szCs w:val="18"/>
                        <w:bdr w:val="none" w:sz="0" w:space="0" w:color="auto" w:frame="1"/>
                        <w:lang w:eastAsia="vi-VN"/>
                      </w:rPr>
                      <w:t>Mẫu Thông tư 06-</w:t>
                    </w:r>
                    <w:r w:rsidRPr="002A7FA7">
                      <w:rPr>
                        <w:rFonts w:ascii="Arial" w:eastAsia="Times New Roman" w:hAnsi="Arial" w:cs="Arial"/>
                        <w:color w:val="19467F"/>
                        <w:sz w:val="18"/>
                        <w:szCs w:val="18"/>
                        <w:bdr w:val="none" w:sz="0" w:space="0" w:color="auto" w:frame="1"/>
                        <w:lang w:eastAsia="vi-VN"/>
                      </w:rPr>
                      <w:lastRenderedPageBreak/>
                      <w:t>2014.docx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sz w:val="18"/>
                      <w:szCs w:val="18"/>
                      <w:lang w:eastAsia="vi-VN"/>
                    </w:rPr>
                  </w:pPr>
                  <w:r w:rsidRPr="002A7FA7">
                    <w:rPr>
                      <w:rFonts w:ascii="Arial" w:eastAsia="Times New Roman" w:hAnsi="Arial" w:cs="Arial"/>
                      <w:sz w:val="18"/>
                      <w:szCs w:val="18"/>
                      <w:lang w:eastAsia="vi-VN"/>
                    </w:rPr>
                    <w:lastRenderedPageBreak/>
                    <w:t>01</w:t>
                  </w:r>
                </w:p>
              </w:tc>
            </w:tr>
          </w:tbl>
          <w:p w:rsidR="002A7FA7" w:rsidRPr="002A7FA7" w:rsidRDefault="002A7FA7" w:rsidP="002A7FA7">
            <w:pPr>
              <w:spacing w:after="0" w:line="240" w:lineRule="atLeast"/>
              <w:rPr>
                <w:rFonts w:ascii="Arial" w:eastAsia="Times New Roman" w:hAnsi="Arial" w:cs="Arial"/>
                <w:color w:val="333333"/>
                <w:sz w:val="18"/>
                <w:szCs w:val="18"/>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lastRenderedPageBreak/>
              <w:t>Số bộ hồ sơ</w:t>
            </w:r>
          </w:p>
        </w:tc>
        <w:tc>
          <w:tcPr>
            <w:tcW w:w="8205" w:type="dxa"/>
            <w:gridSpan w:val="3"/>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01</w:t>
            </w: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Phí</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Lệ phí</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Mức giá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Thời hạn giải quyết</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i/>
                <w:iCs/>
                <w:color w:val="333333"/>
                <w:sz w:val="18"/>
                <w:szCs w:val="18"/>
                <w:bdr w:val="none" w:sz="0" w:space="0" w:color="auto" w:frame="1"/>
                <w:lang w:eastAsia="vi-VN"/>
              </w:rPr>
              <w:t>Theo khoản 1 Điều 28 Luật Tiếp công dân:</w:t>
            </w:r>
          </w:p>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Đối tượng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 Cá nhân,tổ chức</w:t>
            </w: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Cơ quan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Ban tiếp công dân cấp huyện</w:t>
            </w: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Cơ quan có thẩm quyền quyết định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Chủ tịch Ủy ban nhân dân cấp huyện</w:t>
            </w: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Địa chỉ tiếp nhận hồ sơ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Cơ quan được ủy quyền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Cơ quan phối hợp</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lastRenderedPageBreak/>
              <w:t>Kết quả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Cán bộ tiếp dân trả lời trực tiếp hoặc thông báo bằng văn bản</w:t>
            </w: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Căn cứ pháp lý của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numPr>
                <w:ilvl w:val="0"/>
                <w:numId w:val="2"/>
              </w:numPr>
              <w:spacing w:after="0" w:line="270" w:lineRule="atLeast"/>
              <w:ind w:left="0"/>
              <w:textAlignment w:val="baseline"/>
              <w:rPr>
                <w:rFonts w:ascii="Arial" w:eastAsia="Times New Roman" w:hAnsi="Arial" w:cs="Arial"/>
                <w:color w:val="333333"/>
                <w:sz w:val="18"/>
                <w:szCs w:val="18"/>
                <w:lang w:eastAsia="vi-VN"/>
              </w:rPr>
            </w:pPr>
            <w:hyperlink r:id="rId8" w:tgtFrame="_blank" w:tooltip="Luật 02/2011/QH13" w:history="1">
              <w:r w:rsidRPr="002A7FA7">
                <w:rPr>
                  <w:rFonts w:ascii="Arial" w:eastAsia="Times New Roman" w:hAnsi="Arial" w:cs="Arial"/>
                  <w:color w:val="19467F"/>
                  <w:sz w:val="18"/>
                  <w:szCs w:val="18"/>
                  <w:u w:val="single"/>
                  <w:bdr w:val="none" w:sz="0" w:space="0" w:color="auto" w:frame="1"/>
                  <w:lang w:eastAsia="vi-VN"/>
                </w:rPr>
                <w:t>Luật 02/2011/QH13</w:t>
              </w:r>
            </w:hyperlink>
          </w:p>
          <w:p w:rsidR="002A7FA7" w:rsidRPr="002A7FA7" w:rsidRDefault="002A7FA7" w:rsidP="002A7FA7">
            <w:pPr>
              <w:numPr>
                <w:ilvl w:val="0"/>
                <w:numId w:val="2"/>
              </w:numPr>
              <w:spacing w:after="0" w:line="270" w:lineRule="atLeast"/>
              <w:ind w:left="0"/>
              <w:textAlignment w:val="baseline"/>
              <w:rPr>
                <w:rFonts w:ascii="Arial" w:eastAsia="Times New Roman" w:hAnsi="Arial" w:cs="Arial"/>
                <w:color w:val="333333"/>
                <w:sz w:val="18"/>
                <w:szCs w:val="18"/>
                <w:lang w:eastAsia="vi-VN"/>
              </w:rPr>
            </w:pPr>
            <w:hyperlink r:id="rId9" w:tgtFrame="_blank" w:tooltip="Luật 03/2011/QH13" w:history="1">
              <w:r w:rsidRPr="002A7FA7">
                <w:rPr>
                  <w:rFonts w:ascii="Arial" w:eastAsia="Times New Roman" w:hAnsi="Arial" w:cs="Arial"/>
                  <w:color w:val="19467F"/>
                  <w:sz w:val="18"/>
                  <w:szCs w:val="18"/>
                  <w:u w:val="single"/>
                  <w:bdr w:val="none" w:sz="0" w:space="0" w:color="auto" w:frame="1"/>
                  <w:lang w:eastAsia="vi-VN"/>
                </w:rPr>
                <w:t>Luật 03/2011/QH13</w:t>
              </w:r>
            </w:hyperlink>
          </w:p>
          <w:p w:rsidR="002A7FA7" w:rsidRPr="002A7FA7" w:rsidRDefault="002A7FA7" w:rsidP="002A7FA7">
            <w:pPr>
              <w:numPr>
                <w:ilvl w:val="0"/>
                <w:numId w:val="2"/>
              </w:numPr>
              <w:spacing w:after="0" w:line="270" w:lineRule="atLeast"/>
              <w:ind w:left="0"/>
              <w:textAlignment w:val="baseline"/>
              <w:rPr>
                <w:rFonts w:ascii="Arial" w:eastAsia="Times New Roman" w:hAnsi="Arial" w:cs="Arial"/>
                <w:color w:val="333333"/>
                <w:sz w:val="18"/>
                <w:szCs w:val="18"/>
                <w:lang w:eastAsia="vi-VN"/>
              </w:rPr>
            </w:pPr>
            <w:hyperlink r:id="rId10" w:tgtFrame="_blank" w:tooltip="Nghị định 76/2012/NĐ-CP" w:history="1">
              <w:r w:rsidRPr="002A7FA7">
                <w:rPr>
                  <w:rFonts w:ascii="Arial" w:eastAsia="Times New Roman" w:hAnsi="Arial" w:cs="Arial"/>
                  <w:color w:val="19467F"/>
                  <w:sz w:val="18"/>
                  <w:szCs w:val="18"/>
                  <w:u w:val="single"/>
                  <w:bdr w:val="none" w:sz="0" w:space="0" w:color="auto" w:frame="1"/>
                  <w:lang w:eastAsia="vi-VN"/>
                </w:rPr>
                <w:t>Nghị định 76/2012/NĐ-CP</w:t>
              </w:r>
            </w:hyperlink>
          </w:p>
          <w:p w:rsidR="002A7FA7" w:rsidRPr="002A7FA7" w:rsidRDefault="002A7FA7" w:rsidP="002A7FA7">
            <w:pPr>
              <w:numPr>
                <w:ilvl w:val="0"/>
                <w:numId w:val="2"/>
              </w:numPr>
              <w:spacing w:after="0" w:line="270" w:lineRule="atLeast"/>
              <w:ind w:left="0"/>
              <w:textAlignment w:val="baseline"/>
              <w:rPr>
                <w:rFonts w:ascii="Arial" w:eastAsia="Times New Roman" w:hAnsi="Arial" w:cs="Arial"/>
                <w:color w:val="333333"/>
                <w:sz w:val="18"/>
                <w:szCs w:val="18"/>
                <w:lang w:eastAsia="vi-VN"/>
              </w:rPr>
            </w:pPr>
            <w:hyperlink r:id="rId11" w:tgtFrame="_blank" w:tooltip="Nghị định 75/2012/NĐ-CP" w:history="1">
              <w:r w:rsidRPr="002A7FA7">
                <w:rPr>
                  <w:rFonts w:ascii="Arial" w:eastAsia="Times New Roman" w:hAnsi="Arial" w:cs="Arial"/>
                  <w:color w:val="19467F"/>
                  <w:sz w:val="18"/>
                  <w:szCs w:val="18"/>
                  <w:u w:val="single"/>
                  <w:bdr w:val="none" w:sz="0" w:space="0" w:color="auto" w:frame="1"/>
                  <w:lang w:eastAsia="vi-VN"/>
                </w:rPr>
                <w:t>Nghị định 75/2012/NĐ-CP</w:t>
              </w:r>
            </w:hyperlink>
          </w:p>
          <w:p w:rsidR="002A7FA7" w:rsidRPr="002A7FA7" w:rsidRDefault="002A7FA7" w:rsidP="002A7FA7">
            <w:pPr>
              <w:numPr>
                <w:ilvl w:val="0"/>
                <w:numId w:val="2"/>
              </w:numPr>
              <w:spacing w:after="0" w:line="270" w:lineRule="atLeast"/>
              <w:ind w:left="0"/>
              <w:textAlignment w:val="baseline"/>
              <w:rPr>
                <w:rFonts w:ascii="Arial" w:eastAsia="Times New Roman" w:hAnsi="Arial" w:cs="Arial"/>
                <w:color w:val="333333"/>
                <w:sz w:val="18"/>
                <w:szCs w:val="18"/>
                <w:lang w:eastAsia="vi-VN"/>
              </w:rPr>
            </w:pPr>
            <w:hyperlink r:id="rId12" w:tgtFrame="_blank" w:tooltip="Luật 42/2013/QH13" w:history="1">
              <w:r w:rsidRPr="002A7FA7">
                <w:rPr>
                  <w:rFonts w:ascii="Arial" w:eastAsia="Times New Roman" w:hAnsi="Arial" w:cs="Arial"/>
                  <w:color w:val="19467F"/>
                  <w:sz w:val="18"/>
                  <w:szCs w:val="18"/>
                  <w:u w:val="single"/>
                  <w:bdr w:val="none" w:sz="0" w:space="0" w:color="auto" w:frame="1"/>
                  <w:lang w:eastAsia="vi-VN"/>
                </w:rPr>
                <w:t>Luật 42/2013/QH13</w:t>
              </w:r>
            </w:hyperlink>
          </w:p>
          <w:p w:rsidR="002A7FA7" w:rsidRPr="002A7FA7" w:rsidRDefault="002A7FA7" w:rsidP="002A7FA7">
            <w:pPr>
              <w:numPr>
                <w:ilvl w:val="0"/>
                <w:numId w:val="2"/>
              </w:numPr>
              <w:spacing w:after="0" w:line="270" w:lineRule="atLeast"/>
              <w:ind w:left="0"/>
              <w:textAlignment w:val="baseline"/>
              <w:rPr>
                <w:rFonts w:ascii="Arial" w:eastAsia="Times New Roman" w:hAnsi="Arial" w:cs="Arial"/>
                <w:color w:val="333333"/>
                <w:sz w:val="18"/>
                <w:szCs w:val="18"/>
                <w:lang w:eastAsia="vi-VN"/>
              </w:rPr>
            </w:pPr>
            <w:hyperlink r:id="rId13" w:tgtFrame="_blank" w:tooltip="Nghị định 64/2014/NĐ-CP" w:history="1">
              <w:r w:rsidRPr="002A7FA7">
                <w:rPr>
                  <w:rFonts w:ascii="Arial" w:eastAsia="Times New Roman" w:hAnsi="Arial" w:cs="Arial"/>
                  <w:color w:val="19467F"/>
                  <w:sz w:val="18"/>
                  <w:szCs w:val="18"/>
                  <w:u w:val="single"/>
                  <w:bdr w:val="none" w:sz="0" w:space="0" w:color="auto" w:frame="1"/>
                  <w:lang w:eastAsia="vi-VN"/>
                </w:rPr>
                <w:t>Nghị định 64/2014/NĐ-CP</w:t>
              </w:r>
            </w:hyperlink>
          </w:p>
          <w:p w:rsidR="002A7FA7" w:rsidRPr="002A7FA7" w:rsidRDefault="002A7FA7" w:rsidP="002A7FA7">
            <w:pPr>
              <w:numPr>
                <w:ilvl w:val="0"/>
                <w:numId w:val="2"/>
              </w:numPr>
              <w:spacing w:after="0" w:line="270" w:lineRule="atLeast"/>
              <w:ind w:left="0"/>
              <w:textAlignment w:val="baseline"/>
              <w:rPr>
                <w:rFonts w:ascii="Arial" w:eastAsia="Times New Roman" w:hAnsi="Arial" w:cs="Arial"/>
                <w:color w:val="333333"/>
                <w:sz w:val="18"/>
                <w:szCs w:val="18"/>
                <w:lang w:eastAsia="vi-VN"/>
              </w:rPr>
            </w:pPr>
            <w:hyperlink r:id="rId14" w:tgtFrame="_blank" w:tooltip="Thông tư 06/2014/TT-TTCP" w:history="1">
              <w:r w:rsidRPr="002A7FA7">
                <w:rPr>
                  <w:rFonts w:ascii="Arial" w:eastAsia="Times New Roman" w:hAnsi="Arial" w:cs="Arial"/>
                  <w:color w:val="19467F"/>
                  <w:sz w:val="18"/>
                  <w:szCs w:val="18"/>
                  <w:u w:val="single"/>
                  <w:bdr w:val="none" w:sz="0" w:space="0" w:color="auto" w:frame="1"/>
                  <w:lang w:eastAsia="vi-VN"/>
                </w:rPr>
                <w:t>Thông tư 06/2014/TT-TTCP</w:t>
              </w:r>
            </w:hyperlink>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Yêu cầu hoặc điều kiện để thực hiện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Theo Điều 9, Luật tiếp công dân, người tiếp công dân được từ chối tiếp người đến nơi tiếp công dân trong các trường hợp sau đây:</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1. Người trong tình trạng say do dùng chất kích thích, người mắc bệnh tâm thần hoặc một bệnh khác làm mất khả năng nhận thức hoặc khả năng điều khiển hành vi của mình;</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2. Người có hành vi đe dọa, xúc phạm cơ quan, tổ chức, đơn vị, người tiếp công dân, người thi hành công vụ hoặc có hành vi khác vi phạm nội quy nơi tiếp công dân;</w:t>
            </w:r>
          </w:p>
          <w:p w:rsidR="002A7FA7" w:rsidRPr="002A7FA7" w:rsidRDefault="002A7FA7" w:rsidP="002A7FA7">
            <w:pPr>
              <w:spacing w:after="0" w:line="240" w:lineRule="atLeast"/>
              <w:textAlignment w:val="baseline"/>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4. Những trường hợp khác theo quy định của pháp luật.</w:t>
            </w: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r w:rsidR="002A7FA7" w:rsidRPr="002A7FA7" w:rsidTr="002A7FA7">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b/>
                <w:bCs/>
                <w:color w:val="333333"/>
                <w:sz w:val="18"/>
                <w:szCs w:val="18"/>
                <w:lang w:eastAsia="vi-VN"/>
              </w:rPr>
            </w:pPr>
            <w:r w:rsidRPr="002A7FA7">
              <w:rPr>
                <w:rFonts w:ascii="Arial" w:eastAsia="Times New Roman" w:hAnsi="Arial" w:cs="Arial"/>
                <w:b/>
                <w:bCs/>
                <w:color w:val="333333"/>
                <w:sz w:val="18"/>
                <w:szCs w:val="18"/>
                <w:lang w:eastAsia="vi-VN"/>
              </w:rPr>
              <w:t>Đánh giá tác động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2A7FA7" w:rsidRPr="002A7FA7" w:rsidRDefault="002A7FA7" w:rsidP="002A7FA7">
            <w:pPr>
              <w:spacing w:after="0" w:line="240" w:lineRule="atLeast"/>
              <w:rPr>
                <w:rFonts w:ascii="Arial" w:eastAsia="Times New Roman" w:hAnsi="Arial" w:cs="Arial"/>
                <w:color w:val="333333"/>
                <w:sz w:val="18"/>
                <w:szCs w:val="18"/>
                <w:lang w:eastAsia="vi-VN"/>
              </w:rPr>
            </w:pPr>
            <w:r w:rsidRPr="002A7FA7">
              <w:rPr>
                <w:rFonts w:ascii="Arial" w:eastAsia="Times New Roman" w:hAnsi="Arial" w:cs="Arial"/>
                <w:color w:val="333333"/>
                <w:sz w:val="18"/>
                <w:szCs w:val="18"/>
                <w:lang w:eastAsia="vi-VN"/>
              </w:rPr>
              <w:t>Không có thông tin</w:t>
            </w: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c>
          <w:tcPr>
            <w:tcW w:w="0" w:type="auto"/>
            <w:shd w:val="clear" w:color="auto" w:fill="FFFFFF"/>
            <w:vAlign w:val="bottom"/>
            <w:hideMark/>
          </w:tcPr>
          <w:p w:rsidR="002A7FA7" w:rsidRPr="002A7FA7" w:rsidRDefault="002A7FA7" w:rsidP="002A7FA7">
            <w:pPr>
              <w:spacing w:after="0" w:line="240" w:lineRule="auto"/>
              <w:rPr>
                <w:rFonts w:ascii="Times New Roman" w:eastAsia="Times New Roman" w:hAnsi="Times New Roman" w:cs="Times New Roman"/>
                <w:sz w:val="20"/>
                <w:szCs w:val="20"/>
                <w:lang w:eastAsia="vi-VN"/>
              </w:rPr>
            </w:pPr>
          </w:p>
        </w:tc>
      </w:tr>
    </w:tbl>
    <w:p w:rsidR="00CD18B0" w:rsidRDefault="00CD18B0">
      <w:bookmarkStart w:id="0" w:name="_GoBack"/>
      <w:bookmarkEnd w:id="0"/>
    </w:p>
    <w:sectPr w:rsidR="00CD18B0" w:rsidSect="0082555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5480F"/>
    <w:multiLevelType w:val="multilevel"/>
    <w:tmpl w:val="6F4A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22B30"/>
    <w:multiLevelType w:val="multilevel"/>
    <w:tmpl w:val="1A0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04"/>
    <w:rsid w:val="001A3C6C"/>
    <w:rsid w:val="002A7FA7"/>
    <w:rsid w:val="002B3B75"/>
    <w:rsid w:val="004256A0"/>
    <w:rsid w:val="00785A04"/>
    <w:rsid w:val="00825554"/>
    <w:rsid w:val="00CD18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9713">
      <w:bodyDiv w:val="1"/>
      <w:marLeft w:val="0"/>
      <w:marRight w:val="0"/>
      <w:marTop w:val="0"/>
      <w:marBottom w:val="0"/>
      <w:divBdr>
        <w:top w:val="none" w:sz="0" w:space="0" w:color="auto"/>
        <w:left w:val="none" w:sz="0" w:space="0" w:color="auto"/>
        <w:bottom w:val="none" w:sz="0" w:space="0" w:color="auto"/>
        <w:right w:val="none" w:sz="0" w:space="0" w:color="auto"/>
      </w:divBdr>
      <w:divsChild>
        <w:div w:id="896942322">
          <w:marLeft w:val="0"/>
          <w:marRight w:val="0"/>
          <w:marTop w:val="0"/>
          <w:marBottom w:val="0"/>
          <w:divBdr>
            <w:top w:val="none" w:sz="0" w:space="0" w:color="auto"/>
            <w:left w:val="none" w:sz="0" w:space="0" w:color="auto"/>
            <w:bottom w:val="none" w:sz="0" w:space="0" w:color="auto"/>
            <w:right w:val="none" w:sz="0" w:space="0" w:color="auto"/>
          </w:divBdr>
        </w:div>
        <w:div w:id="535894874">
          <w:marLeft w:val="0"/>
          <w:marRight w:val="0"/>
          <w:marTop w:val="0"/>
          <w:marBottom w:val="0"/>
          <w:divBdr>
            <w:top w:val="none" w:sz="0" w:space="0" w:color="auto"/>
            <w:left w:val="none" w:sz="0" w:space="0" w:color="auto"/>
            <w:bottom w:val="none" w:sz="0" w:space="0" w:color="auto"/>
            <w:right w:val="none" w:sz="0" w:space="0" w:color="auto"/>
          </w:divBdr>
        </w:div>
        <w:div w:id="828668412">
          <w:marLeft w:val="0"/>
          <w:marRight w:val="0"/>
          <w:marTop w:val="0"/>
          <w:marBottom w:val="0"/>
          <w:divBdr>
            <w:top w:val="none" w:sz="0" w:space="0" w:color="auto"/>
            <w:left w:val="none" w:sz="0" w:space="0" w:color="auto"/>
            <w:bottom w:val="none" w:sz="0" w:space="0" w:color="auto"/>
            <w:right w:val="none" w:sz="0" w:space="0" w:color="auto"/>
          </w:divBdr>
        </w:div>
        <w:div w:id="86003031">
          <w:marLeft w:val="0"/>
          <w:marRight w:val="0"/>
          <w:marTop w:val="0"/>
          <w:marBottom w:val="0"/>
          <w:divBdr>
            <w:top w:val="none" w:sz="0" w:space="0" w:color="auto"/>
            <w:left w:val="none" w:sz="0" w:space="0" w:color="auto"/>
            <w:bottom w:val="none" w:sz="0" w:space="0" w:color="auto"/>
            <w:right w:val="none" w:sz="0" w:space="0" w:color="auto"/>
          </w:divBdr>
        </w:div>
        <w:div w:id="384334818">
          <w:marLeft w:val="0"/>
          <w:marRight w:val="0"/>
          <w:marTop w:val="0"/>
          <w:marBottom w:val="0"/>
          <w:divBdr>
            <w:top w:val="none" w:sz="0" w:space="0" w:color="auto"/>
            <w:left w:val="none" w:sz="0" w:space="0" w:color="auto"/>
            <w:bottom w:val="none" w:sz="0" w:space="0" w:color="auto"/>
            <w:right w:val="none" w:sz="0" w:space="0" w:color="auto"/>
          </w:divBdr>
        </w:div>
      </w:divsChild>
    </w:div>
    <w:div w:id="642123165">
      <w:bodyDiv w:val="1"/>
      <w:marLeft w:val="0"/>
      <w:marRight w:val="0"/>
      <w:marTop w:val="0"/>
      <w:marBottom w:val="0"/>
      <w:divBdr>
        <w:top w:val="none" w:sz="0" w:space="0" w:color="auto"/>
        <w:left w:val="none" w:sz="0" w:space="0" w:color="auto"/>
        <w:bottom w:val="none" w:sz="0" w:space="0" w:color="auto"/>
        <w:right w:val="none" w:sz="0" w:space="0" w:color="auto"/>
      </w:divBdr>
      <w:divsChild>
        <w:div w:id="926841345">
          <w:marLeft w:val="0"/>
          <w:marRight w:val="0"/>
          <w:marTop w:val="0"/>
          <w:marBottom w:val="0"/>
          <w:divBdr>
            <w:top w:val="none" w:sz="0" w:space="0" w:color="auto"/>
            <w:left w:val="none" w:sz="0" w:space="0" w:color="auto"/>
            <w:bottom w:val="none" w:sz="0" w:space="0" w:color="auto"/>
            <w:right w:val="none" w:sz="0" w:space="0" w:color="auto"/>
          </w:divBdr>
        </w:div>
        <w:div w:id="736051993">
          <w:marLeft w:val="0"/>
          <w:marRight w:val="0"/>
          <w:marTop w:val="0"/>
          <w:marBottom w:val="0"/>
          <w:divBdr>
            <w:top w:val="none" w:sz="0" w:space="0" w:color="auto"/>
            <w:left w:val="none" w:sz="0" w:space="0" w:color="auto"/>
            <w:bottom w:val="none" w:sz="0" w:space="0" w:color="auto"/>
            <w:right w:val="none" w:sz="0" w:space="0" w:color="auto"/>
          </w:divBdr>
        </w:div>
        <w:div w:id="1799950625">
          <w:marLeft w:val="0"/>
          <w:marRight w:val="0"/>
          <w:marTop w:val="0"/>
          <w:marBottom w:val="0"/>
          <w:divBdr>
            <w:top w:val="none" w:sz="0" w:space="0" w:color="auto"/>
            <w:left w:val="none" w:sz="0" w:space="0" w:color="auto"/>
            <w:bottom w:val="none" w:sz="0" w:space="0" w:color="auto"/>
            <w:right w:val="none" w:sz="0" w:space="0" w:color="auto"/>
          </w:divBdr>
        </w:div>
        <w:div w:id="1915814595">
          <w:marLeft w:val="0"/>
          <w:marRight w:val="0"/>
          <w:marTop w:val="0"/>
          <w:marBottom w:val="0"/>
          <w:divBdr>
            <w:top w:val="none" w:sz="0" w:space="0" w:color="auto"/>
            <w:left w:val="none" w:sz="0" w:space="0" w:color="auto"/>
            <w:bottom w:val="none" w:sz="0" w:space="0" w:color="auto"/>
            <w:right w:val="none" w:sz="0" w:space="0" w:color="auto"/>
          </w:divBdr>
        </w:div>
        <w:div w:id="1955676264">
          <w:marLeft w:val="0"/>
          <w:marRight w:val="0"/>
          <w:marTop w:val="0"/>
          <w:marBottom w:val="0"/>
          <w:divBdr>
            <w:top w:val="none" w:sz="0" w:space="0" w:color="auto"/>
            <w:left w:val="none" w:sz="0" w:space="0" w:color="auto"/>
            <w:bottom w:val="none" w:sz="0" w:space="0" w:color="auto"/>
            <w:right w:val="none" w:sz="0" w:space="0" w:color="auto"/>
          </w:divBdr>
        </w:div>
      </w:divsChild>
    </w:div>
    <w:div w:id="1499270801">
      <w:bodyDiv w:val="1"/>
      <w:marLeft w:val="0"/>
      <w:marRight w:val="0"/>
      <w:marTop w:val="0"/>
      <w:marBottom w:val="0"/>
      <w:divBdr>
        <w:top w:val="none" w:sz="0" w:space="0" w:color="auto"/>
        <w:left w:val="none" w:sz="0" w:space="0" w:color="auto"/>
        <w:bottom w:val="none" w:sz="0" w:space="0" w:color="auto"/>
        <w:right w:val="none" w:sz="0" w:space="0" w:color="auto"/>
      </w:divBdr>
      <w:divsChild>
        <w:div w:id="41386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27325" TargetMode="External"/><Relationship Id="rId13" Type="http://schemas.openxmlformats.org/officeDocument/2006/relationships/hyperlink" Target="http://vbpl.vn/TW/Pages/vbpq-thuoctinh.aspx?ItemID=36701" TargetMode="External"/><Relationship Id="rId3" Type="http://schemas.microsoft.com/office/2007/relationships/stylesWithEffects" Target="stylesWithEffects.xml"/><Relationship Id="rId7" Type="http://schemas.openxmlformats.org/officeDocument/2006/relationships/hyperlink" Target="http://csdl.thutuchanhchinh.vn/TW/Lists/ThanhPhanHoSo/Attachments/254402/M%E1%BA%ABu%20Th%C3%B4ng%20t%C6%B0%2006-2014.docx" TargetMode="External"/><Relationship Id="rId12" Type="http://schemas.openxmlformats.org/officeDocument/2006/relationships/hyperlink" Target="http://vbpl.vn/TW/Pages/vbpq-thuoctinh.aspx?ItemID=329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sdl.thutuchanhchinh.vn/TW/Lists/ThanhPhanHoSo/Attachments/254402/M%E1%BA%ABu%20Th%C3%B4ng%20t%C6%B0%2002-2016.docx" TargetMode="External"/><Relationship Id="rId11" Type="http://schemas.openxmlformats.org/officeDocument/2006/relationships/hyperlink" Target="http://vbpl.vn/TW/Pages/vbpq-thuoctinh.aspx?ItemID=277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bpl.vn/TW/Pages/vbpq-thuoctinh.aspx?ItemID=27813" TargetMode="External"/><Relationship Id="rId4" Type="http://schemas.openxmlformats.org/officeDocument/2006/relationships/settings" Target="settings.xml"/><Relationship Id="rId9" Type="http://schemas.openxmlformats.org/officeDocument/2006/relationships/hyperlink" Target="http://vbpl.vn/TW/Pages/vbpq-thuoctinh.aspx?ItemID=27305" TargetMode="External"/><Relationship Id="rId14" Type="http://schemas.openxmlformats.org/officeDocument/2006/relationships/hyperlink" Target="http://vbpl.vn/TW/Pages/vbpq-thuoctinh.aspx?ItemID=58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dc:creator>
  <cp:lastModifiedBy>MOC</cp:lastModifiedBy>
  <cp:revision>2</cp:revision>
  <dcterms:created xsi:type="dcterms:W3CDTF">2019-11-07T07:10:00Z</dcterms:created>
  <dcterms:modified xsi:type="dcterms:W3CDTF">2019-11-07T07:10:00Z</dcterms:modified>
</cp:coreProperties>
</file>